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F5237" w14:textId="47AB39D0" w:rsidR="005964BB" w:rsidRPr="005964BB" w:rsidRDefault="00590AB2" w:rsidP="00922E5F">
      <w:pPr>
        <w:jc w:val="center"/>
        <w:rPr>
          <w:sz w:val="28"/>
          <w:szCs w:val="28"/>
        </w:rPr>
      </w:pPr>
      <w:r>
        <w:rPr>
          <w:noProof/>
          <w:sz w:val="28"/>
          <w:szCs w:val="28"/>
        </w:rPr>
        <w:drawing>
          <wp:inline distT="0" distB="0" distL="0" distR="0" wp14:anchorId="53751993" wp14:editId="45A47929">
            <wp:extent cx="3314700" cy="933450"/>
            <wp:effectExtent l="0" t="0" r="0" b="0"/>
            <wp:docPr id="2043754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14700" cy="933450"/>
                    </a:xfrm>
                    <a:prstGeom prst="rect">
                      <a:avLst/>
                    </a:prstGeom>
                    <a:noFill/>
                    <a:ln>
                      <a:noFill/>
                    </a:ln>
                  </pic:spPr>
                </pic:pic>
              </a:graphicData>
            </a:graphic>
          </wp:inline>
        </w:drawing>
      </w:r>
    </w:p>
    <w:p w14:paraId="7E7C64A8" w14:textId="77777777" w:rsidR="005964BB" w:rsidRDefault="005964BB" w:rsidP="00922E5F">
      <w:pPr>
        <w:jc w:val="center"/>
        <w:rPr>
          <w:b/>
          <w:bCs/>
          <w:sz w:val="28"/>
          <w:szCs w:val="28"/>
          <w:u w:val="single"/>
        </w:rPr>
      </w:pPr>
    </w:p>
    <w:p w14:paraId="6EE39648" w14:textId="70EA31BE" w:rsidR="00922E5F" w:rsidRPr="00922E5F" w:rsidRDefault="00922E5F" w:rsidP="00922E5F">
      <w:pPr>
        <w:jc w:val="center"/>
        <w:rPr>
          <w:b/>
          <w:bCs/>
          <w:sz w:val="28"/>
          <w:szCs w:val="28"/>
          <w:u w:val="single"/>
        </w:rPr>
      </w:pPr>
      <w:r w:rsidRPr="00922E5F">
        <w:rPr>
          <w:b/>
          <w:bCs/>
          <w:sz w:val="28"/>
          <w:szCs w:val="28"/>
          <w:u w:val="single"/>
        </w:rPr>
        <w:t>CQC Inspection Reports P</w:t>
      </w:r>
      <w:r w:rsidR="00A8660D">
        <w:rPr>
          <w:b/>
          <w:bCs/>
          <w:sz w:val="28"/>
          <w:szCs w:val="28"/>
          <w:u w:val="single"/>
        </w:rPr>
        <w:t>ublished in November 2025</w:t>
      </w:r>
    </w:p>
    <w:p w14:paraId="0E819B8F" w14:textId="056D4CDE" w:rsidR="00922E5F" w:rsidRDefault="002A040E" w:rsidP="00922E5F">
      <w:pPr>
        <w:pStyle w:val="ListParagraph"/>
        <w:numPr>
          <w:ilvl w:val="0"/>
          <w:numId w:val="5"/>
        </w:numPr>
      </w:pPr>
      <w:r>
        <w:t>6</w:t>
      </w:r>
      <w:r w:rsidR="00922E5F">
        <w:t xml:space="preserve"> </w:t>
      </w:r>
      <w:r w:rsidR="001A2290">
        <w:t xml:space="preserve">reports </w:t>
      </w:r>
      <w:r w:rsidR="00922E5F">
        <w:t xml:space="preserve">were </w:t>
      </w:r>
      <w:r w:rsidR="001A2290">
        <w:t xml:space="preserve">for </w:t>
      </w:r>
      <w:r w:rsidR="00922E5F">
        <w:t>GPs rated Requires Improvement</w:t>
      </w:r>
    </w:p>
    <w:p w14:paraId="4FCDAF8F" w14:textId="170BD969" w:rsidR="00922E5F" w:rsidRDefault="002A040E" w:rsidP="00922E5F">
      <w:pPr>
        <w:pStyle w:val="ListParagraph"/>
        <w:numPr>
          <w:ilvl w:val="0"/>
          <w:numId w:val="5"/>
        </w:numPr>
      </w:pPr>
      <w:r>
        <w:t>1</w:t>
      </w:r>
      <w:r w:rsidR="00922E5F">
        <w:t xml:space="preserve"> </w:t>
      </w:r>
      <w:r w:rsidR="001A2290">
        <w:t>report was for a</w:t>
      </w:r>
      <w:r w:rsidR="00922E5F">
        <w:t xml:space="preserve"> GP rated Inadequate</w:t>
      </w:r>
    </w:p>
    <w:p w14:paraId="765E41B0" w14:textId="2F5BFA98" w:rsidR="00571085" w:rsidRDefault="002A040E" w:rsidP="00922E5F">
      <w:pPr>
        <w:pStyle w:val="ListParagraph"/>
        <w:numPr>
          <w:ilvl w:val="0"/>
          <w:numId w:val="5"/>
        </w:numPr>
      </w:pPr>
      <w:r>
        <w:t>3</w:t>
      </w:r>
      <w:r w:rsidR="00571085">
        <w:t xml:space="preserve"> reports were for GPs rated Outstanding</w:t>
      </w:r>
    </w:p>
    <w:p w14:paraId="78627FFD" w14:textId="77777777" w:rsidR="002F6457" w:rsidRDefault="002F6457" w:rsidP="002F6457">
      <w:pPr>
        <w:rPr>
          <w:b/>
          <w:bCs/>
          <w:u w:val="single"/>
        </w:rPr>
      </w:pPr>
    </w:p>
    <w:p w14:paraId="2369AB92" w14:textId="5AD30DC3" w:rsidR="00922E5F" w:rsidRPr="00571085" w:rsidRDefault="00922E5F" w:rsidP="00571085">
      <w:pPr>
        <w:rPr>
          <w:b/>
          <w:bCs/>
          <w:sz w:val="28"/>
          <w:szCs w:val="28"/>
          <w:u w:val="single"/>
        </w:rPr>
      </w:pPr>
      <w:r w:rsidRPr="00571085">
        <w:rPr>
          <w:b/>
          <w:bCs/>
          <w:sz w:val="28"/>
          <w:szCs w:val="28"/>
          <w:u w:val="single"/>
        </w:rPr>
        <w:t xml:space="preserve">Key </w:t>
      </w:r>
      <w:r w:rsidR="00160B36" w:rsidRPr="00571085">
        <w:rPr>
          <w:b/>
          <w:bCs/>
          <w:sz w:val="28"/>
          <w:szCs w:val="28"/>
          <w:u w:val="single"/>
        </w:rPr>
        <w:t>Reasons Given</w:t>
      </w:r>
      <w:r w:rsidRPr="00571085">
        <w:rPr>
          <w:b/>
          <w:bCs/>
          <w:sz w:val="28"/>
          <w:szCs w:val="28"/>
          <w:u w:val="single"/>
        </w:rPr>
        <w:t xml:space="preserve"> </w:t>
      </w:r>
      <w:r w:rsidR="00160B36" w:rsidRPr="00571085">
        <w:rPr>
          <w:b/>
          <w:bCs/>
          <w:sz w:val="28"/>
          <w:szCs w:val="28"/>
          <w:u w:val="single"/>
        </w:rPr>
        <w:t>for</w:t>
      </w:r>
      <w:r w:rsidRPr="00571085">
        <w:rPr>
          <w:b/>
          <w:bCs/>
          <w:sz w:val="28"/>
          <w:szCs w:val="28"/>
          <w:u w:val="single"/>
        </w:rPr>
        <w:t xml:space="preserve"> </w:t>
      </w:r>
      <w:r w:rsidR="009963DB" w:rsidRPr="00571085">
        <w:rPr>
          <w:b/>
          <w:bCs/>
          <w:sz w:val="28"/>
          <w:szCs w:val="28"/>
          <w:u w:val="single"/>
        </w:rPr>
        <w:t xml:space="preserve">Overall </w:t>
      </w:r>
      <w:r w:rsidR="00160B36" w:rsidRPr="00571085">
        <w:rPr>
          <w:b/>
          <w:bCs/>
          <w:sz w:val="28"/>
          <w:szCs w:val="28"/>
          <w:u w:val="single"/>
        </w:rPr>
        <w:t>“</w:t>
      </w:r>
      <w:r w:rsidR="00BF5B40" w:rsidRPr="00571085">
        <w:rPr>
          <w:b/>
          <w:bCs/>
          <w:sz w:val="28"/>
          <w:szCs w:val="28"/>
          <w:u w:val="single"/>
        </w:rPr>
        <w:t>Requires Improvement</w:t>
      </w:r>
      <w:r w:rsidR="00160B36" w:rsidRPr="00571085">
        <w:rPr>
          <w:b/>
          <w:bCs/>
          <w:sz w:val="28"/>
          <w:szCs w:val="28"/>
          <w:u w:val="single"/>
        </w:rPr>
        <w:t>”</w:t>
      </w:r>
      <w:r w:rsidR="001A2290" w:rsidRPr="00571085">
        <w:rPr>
          <w:b/>
          <w:bCs/>
          <w:sz w:val="28"/>
          <w:szCs w:val="28"/>
          <w:u w:val="single"/>
        </w:rPr>
        <w:t xml:space="preserve"> and “Inadequate”</w:t>
      </w:r>
      <w:r w:rsidRPr="00571085">
        <w:rPr>
          <w:b/>
          <w:bCs/>
          <w:sz w:val="28"/>
          <w:szCs w:val="28"/>
          <w:u w:val="single"/>
        </w:rPr>
        <w:t xml:space="preserve"> CQC Ratings for GP Surgeries</w:t>
      </w:r>
    </w:p>
    <w:p w14:paraId="09FFFA0C" w14:textId="77777777" w:rsidR="00160B36" w:rsidRDefault="00160B36" w:rsidP="00BF5B40">
      <w:pPr>
        <w:rPr>
          <w:b/>
          <w:bCs/>
        </w:rPr>
      </w:pPr>
    </w:p>
    <w:p w14:paraId="73763DCA" w14:textId="7079E216" w:rsidR="00160B36" w:rsidRDefault="00B11BDA" w:rsidP="00BF5B40">
      <w:pPr>
        <w:rPr>
          <w:i/>
          <w:iCs/>
        </w:rPr>
      </w:pPr>
      <w:r w:rsidRPr="00BB69C6">
        <w:rPr>
          <w:b/>
          <w:bCs/>
          <w:i/>
          <w:iCs/>
        </w:rPr>
        <w:t>Note</w:t>
      </w:r>
      <w:r w:rsidR="00BB69C6">
        <w:rPr>
          <w:b/>
          <w:bCs/>
          <w:i/>
          <w:iCs/>
        </w:rPr>
        <w:t>:</w:t>
      </w:r>
      <w:r w:rsidRPr="00702C83">
        <w:rPr>
          <w:i/>
          <w:iCs/>
        </w:rPr>
        <w:t xml:space="preserve"> that the</w:t>
      </w:r>
      <w:r w:rsidR="00B26D1A" w:rsidRPr="00702C83">
        <w:rPr>
          <w:i/>
          <w:iCs/>
        </w:rPr>
        <w:t xml:space="preserve"> </w:t>
      </w:r>
      <w:r w:rsidR="00D81AD0">
        <w:rPr>
          <w:i/>
          <w:iCs/>
        </w:rPr>
        <w:t xml:space="preserve">many </w:t>
      </w:r>
      <w:r w:rsidR="00B26D1A" w:rsidRPr="00702C83">
        <w:rPr>
          <w:i/>
          <w:iCs/>
        </w:rPr>
        <w:t xml:space="preserve">positive and commended comments which may </w:t>
      </w:r>
      <w:r w:rsidR="00D81AD0">
        <w:rPr>
          <w:i/>
          <w:iCs/>
        </w:rPr>
        <w:t xml:space="preserve">also </w:t>
      </w:r>
      <w:r w:rsidR="00B26D1A" w:rsidRPr="00702C83">
        <w:rPr>
          <w:i/>
          <w:iCs/>
        </w:rPr>
        <w:t xml:space="preserve">have been given at the same time by the CQC are not included </w:t>
      </w:r>
      <w:r w:rsidR="00571085">
        <w:rPr>
          <w:i/>
          <w:iCs/>
        </w:rPr>
        <w:t>in this section</w:t>
      </w:r>
      <w:r w:rsidR="00B26D1A" w:rsidRPr="00702C83">
        <w:rPr>
          <w:i/>
          <w:iCs/>
        </w:rPr>
        <w:t xml:space="preserve">; this is simply a list of the sorts of things that other practices can work to improve to avoid </w:t>
      </w:r>
      <w:r w:rsidR="00702C83" w:rsidRPr="00702C83">
        <w:rPr>
          <w:i/>
          <w:iCs/>
        </w:rPr>
        <w:t>getting RI or Inadequate ratings themselves</w:t>
      </w:r>
      <w:r w:rsidR="000970EE">
        <w:rPr>
          <w:i/>
          <w:iCs/>
        </w:rPr>
        <w:t>. These comments are not exhaustive.</w:t>
      </w:r>
      <w:r w:rsidR="00BB69C6">
        <w:rPr>
          <w:i/>
          <w:iCs/>
        </w:rPr>
        <w:t xml:space="preserve"> Many of these actions have since been rectified</w:t>
      </w:r>
      <w:r w:rsidR="0072271B">
        <w:rPr>
          <w:i/>
          <w:iCs/>
        </w:rPr>
        <w:t xml:space="preserve"> according to the CQC.</w:t>
      </w:r>
    </w:p>
    <w:p w14:paraId="44306A0D" w14:textId="77777777" w:rsidR="0001357A" w:rsidRDefault="0001357A" w:rsidP="00BF5B40">
      <w:pPr>
        <w:rPr>
          <w:i/>
          <w:iCs/>
        </w:rPr>
      </w:pPr>
    </w:p>
    <w:p w14:paraId="01D027D0" w14:textId="77777777" w:rsidR="0001357A" w:rsidRDefault="0001357A" w:rsidP="00BF5B40">
      <w:pPr>
        <w:rPr>
          <w:i/>
          <w:iCs/>
        </w:rPr>
      </w:pPr>
    </w:p>
    <w:p w14:paraId="7D0A076D" w14:textId="77777777" w:rsidR="0001357A" w:rsidRDefault="0001357A" w:rsidP="00BF5B40">
      <w:pPr>
        <w:rPr>
          <w:i/>
          <w:iCs/>
        </w:rPr>
      </w:pPr>
    </w:p>
    <w:p w14:paraId="571B26C2" w14:textId="77777777" w:rsidR="0001357A" w:rsidRDefault="0001357A" w:rsidP="00BF5B40">
      <w:pPr>
        <w:rPr>
          <w:i/>
          <w:iCs/>
        </w:rPr>
      </w:pPr>
    </w:p>
    <w:p w14:paraId="7E51262F" w14:textId="2AF94603" w:rsidR="0001357A" w:rsidRDefault="00590AB2" w:rsidP="00590AB2">
      <w:pPr>
        <w:jc w:val="center"/>
        <w:rPr>
          <w:i/>
          <w:iCs/>
        </w:rPr>
      </w:pPr>
      <w:r>
        <w:rPr>
          <w:noProof/>
          <w:sz w:val="28"/>
          <w:szCs w:val="28"/>
        </w:rPr>
        <w:lastRenderedPageBreak/>
        <w:drawing>
          <wp:inline distT="0" distB="0" distL="0" distR="0" wp14:anchorId="60CA501C" wp14:editId="41D9D742">
            <wp:extent cx="3314700" cy="933450"/>
            <wp:effectExtent l="0" t="0" r="0" b="0"/>
            <wp:docPr id="952812720" name="Picture 2"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812720" name="Picture 2" descr="A black background with green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14700" cy="933450"/>
                    </a:xfrm>
                    <a:prstGeom prst="rect">
                      <a:avLst/>
                    </a:prstGeom>
                    <a:noFill/>
                    <a:ln>
                      <a:noFill/>
                    </a:ln>
                  </pic:spPr>
                </pic:pic>
              </a:graphicData>
            </a:graphic>
          </wp:inline>
        </w:drawing>
      </w:r>
    </w:p>
    <w:p w14:paraId="3CA3304E" w14:textId="77777777" w:rsidR="0001357A" w:rsidRPr="00702C83" w:rsidRDefault="0001357A" w:rsidP="00BF5B40">
      <w:pPr>
        <w:rPr>
          <w:i/>
          <w:iCs/>
        </w:rPr>
      </w:pPr>
    </w:p>
    <w:tbl>
      <w:tblPr>
        <w:tblStyle w:val="TableGrid"/>
        <w:tblW w:w="15168" w:type="dxa"/>
        <w:tblInd w:w="-714" w:type="dxa"/>
        <w:tblLook w:val="04A0" w:firstRow="1" w:lastRow="0" w:firstColumn="1" w:lastColumn="0" w:noHBand="0" w:noVBand="1"/>
      </w:tblPr>
      <w:tblGrid>
        <w:gridCol w:w="4395"/>
        <w:gridCol w:w="10773"/>
      </w:tblGrid>
      <w:tr w:rsidR="0084351C" w14:paraId="48D1954B" w14:textId="77777777" w:rsidTr="00DC6A0E">
        <w:tc>
          <w:tcPr>
            <w:tcW w:w="4395" w:type="dxa"/>
            <w:shd w:val="clear" w:color="auto" w:fill="FFFFFF" w:themeFill="background1"/>
          </w:tcPr>
          <w:p w14:paraId="26B90EDE" w14:textId="77777777" w:rsidR="0084351C" w:rsidRDefault="0084351C" w:rsidP="00BF5B40">
            <w:pPr>
              <w:rPr>
                <w:b/>
                <w:bCs/>
              </w:rPr>
            </w:pPr>
            <w:bookmarkStart w:id="0" w:name="_Hlk210204216"/>
          </w:p>
        </w:tc>
        <w:tc>
          <w:tcPr>
            <w:tcW w:w="10773" w:type="dxa"/>
          </w:tcPr>
          <w:p w14:paraId="247C1F82" w14:textId="5EE5B095" w:rsidR="0084351C" w:rsidRPr="0072271B" w:rsidRDefault="0084351C" w:rsidP="0084351C">
            <w:pPr>
              <w:tabs>
                <w:tab w:val="left" w:pos="1152"/>
              </w:tabs>
              <w:rPr>
                <w:b/>
                <w:bCs/>
                <w:sz w:val="20"/>
                <w:szCs w:val="20"/>
              </w:rPr>
            </w:pPr>
            <w:r w:rsidRPr="00B04ADD">
              <w:rPr>
                <w:sz w:val="20"/>
                <w:szCs w:val="20"/>
              </w:rPr>
              <w:tab/>
            </w:r>
            <w:r w:rsidRPr="0072271B">
              <w:rPr>
                <w:b/>
                <w:bCs/>
                <w:sz w:val="20"/>
                <w:szCs w:val="20"/>
              </w:rPr>
              <w:t>INSPECTION COMMENTS</w:t>
            </w:r>
            <w:r w:rsidR="009B6559" w:rsidRPr="0072271B">
              <w:rPr>
                <w:b/>
                <w:bCs/>
                <w:sz w:val="20"/>
                <w:szCs w:val="20"/>
              </w:rPr>
              <w:t xml:space="preserve"> (</w:t>
            </w:r>
            <w:r w:rsidR="009B6559" w:rsidRPr="008840C3">
              <w:rPr>
                <w:b/>
                <w:bCs/>
                <w:i/>
                <w:iCs/>
                <w:color w:val="E97132" w:themeColor="accent2"/>
                <w:sz w:val="20"/>
                <w:szCs w:val="20"/>
              </w:rPr>
              <w:t>all scored 1 or 2 by CQC</w:t>
            </w:r>
            <w:r w:rsidR="009B6559" w:rsidRPr="0072271B">
              <w:rPr>
                <w:b/>
                <w:bCs/>
                <w:sz w:val="20"/>
                <w:szCs w:val="20"/>
              </w:rPr>
              <w:t>)</w:t>
            </w:r>
          </w:p>
        </w:tc>
      </w:tr>
      <w:tr w:rsidR="007372FE" w14:paraId="6EE9BA3D" w14:textId="77777777" w:rsidTr="00DC6A0E">
        <w:tc>
          <w:tcPr>
            <w:tcW w:w="4395" w:type="dxa"/>
            <w:shd w:val="clear" w:color="auto" w:fill="4C94D8" w:themeFill="text2" w:themeFillTint="80"/>
          </w:tcPr>
          <w:p w14:paraId="7EB235BA" w14:textId="56539E24" w:rsidR="007372FE" w:rsidRDefault="007372FE" w:rsidP="00BF5B40">
            <w:pPr>
              <w:rPr>
                <w:b/>
                <w:bCs/>
              </w:rPr>
            </w:pPr>
            <w:r>
              <w:rPr>
                <w:b/>
                <w:bCs/>
              </w:rPr>
              <w:t>SAFE</w:t>
            </w:r>
          </w:p>
        </w:tc>
        <w:tc>
          <w:tcPr>
            <w:tcW w:w="10773" w:type="dxa"/>
          </w:tcPr>
          <w:p w14:paraId="15C42BB7" w14:textId="08303616" w:rsidR="007372FE" w:rsidRPr="00B04ADD" w:rsidRDefault="007372FE" w:rsidP="00DC6A0E">
            <w:pPr>
              <w:rPr>
                <w:sz w:val="20"/>
                <w:szCs w:val="20"/>
              </w:rPr>
            </w:pPr>
          </w:p>
        </w:tc>
      </w:tr>
      <w:tr w:rsidR="007372FE" w14:paraId="5DFB5EEE" w14:textId="77777777" w:rsidTr="00DC6A0E">
        <w:tc>
          <w:tcPr>
            <w:tcW w:w="4395" w:type="dxa"/>
            <w:shd w:val="clear" w:color="auto" w:fill="DAE9F7" w:themeFill="text2" w:themeFillTint="1A"/>
          </w:tcPr>
          <w:p w14:paraId="179AB6F7" w14:textId="297A2A7D" w:rsidR="007372FE" w:rsidRPr="00AC198E" w:rsidRDefault="007372FE" w:rsidP="00BF5B40">
            <w:r w:rsidRPr="00AC198E">
              <w:t>Learning culture</w:t>
            </w:r>
          </w:p>
        </w:tc>
        <w:tc>
          <w:tcPr>
            <w:tcW w:w="10773" w:type="dxa"/>
          </w:tcPr>
          <w:p w14:paraId="70C192B7" w14:textId="77777777" w:rsidR="000813CB" w:rsidRDefault="00BE3A67" w:rsidP="00DC6A0E">
            <w:pPr>
              <w:pStyle w:val="ListParagraph"/>
              <w:numPr>
                <w:ilvl w:val="0"/>
                <w:numId w:val="7"/>
              </w:numPr>
              <w:rPr>
                <w:sz w:val="20"/>
                <w:szCs w:val="20"/>
              </w:rPr>
            </w:pPr>
            <w:r w:rsidRPr="00BE3A67">
              <w:rPr>
                <w:sz w:val="20"/>
                <w:szCs w:val="20"/>
              </w:rPr>
              <w:t xml:space="preserve">We saw examples that significant events were not always documented when being discussed in meetings. Not all significant events were thoroughly </w:t>
            </w:r>
            <w:proofErr w:type="gramStart"/>
            <w:r w:rsidRPr="00BE3A67">
              <w:rPr>
                <w:sz w:val="20"/>
                <w:szCs w:val="20"/>
              </w:rPr>
              <w:t>investigated</w:t>
            </w:r>
            <w:proofErr w:type="gramEnd"/>
            <w:r w:rsidRPr="00BE3A67">
              <w:rPr>
                <w:sz w:val="20"/>
                <w:szCs w:val="20"/>
              </w:rPr>
              <w:t xml:space="preserve"> and we did not see that lessons were always learned.</w:t>
            </w:r>
          </w:p>
          <w:p w14:paraId="0CCAB153" w14:textId="079A264D" w:rsidR="00916E4C" w:rsidRDefault="00916E4C" w:rsidP="00DC6A0E">
            <w:pPr>
              <w:pStyle w:val="ListParagraph"/>
              <w:numPr>
                <w:ilvl w:val="0"/>
                <w:numId w:val="7"/>
              </w:numPr>
              <w:rPr>
                <w:sz w:val="20"/>
                <w:szCs w:val="20"/>
              </w:rPr>
            </w:pPr>
            <w:r w:rsidRPr="00916E4C">
              <w:rPr>
                <w:sz w:val="20"/>
                <w:szCs w:val="20"/>
              </w:rPr>
              <w:t>Complaints were responded to</w:t>
            </w:r>
            <w:r w:rsidR="009C7B43">
              <w:rPr>
                <w:sz w:val="20"/>
                <w:szCs w:val="20"/>
              </w:rPr>
              <w:t>,</w:t>
            </w:r>
            <w:r w:rsidRPr="00916E4C">
              <w:rPr>
                <w:sz w:val="20"/>
                <w:szCs w:val="20"/>
              </w:rPr>
              <w:t xml:space="preserve"> but the practice did not follow their policy; they did not acknowledge and respond to complaints within an appropriate timeframe. We saw an example where consent could not be evidenced when a complaint was raised on someone else’s behalf</w:t>
            </w:r>
            <w:r w:rsidR="009C7B43">
              <w:rPr>
                <w:sz w:val="20"/>
                <w:szCs w:val="20"/>
              </w:rPr>
              <w:t>.</w:t>
            </w:r>
          </w:p>
          <w:p w14:paraId="1C0623C0" w14:textId="77777777" w:rsidR="009C7B43" w:rsidRDefault="009C7B43" w:rsidP="00DC6A0E">
            <w:pPr>
              <w:pStyle w:val="ListParagraph"/>
              <w:numPr>
                <w:ilvl w:val="0"/>
                <w:numId w:val="7"/>
              </w:numPr>
              <w:rPr>
                <w:sz w:val="20"/>
                <w:szCs w:val="20"/>
              </w:rPr>
            </w:pPr>
            <w:r w:rsidRPr="009C7B43">
              <w:rPr>
                <w:sz w:val="20"/>
                <w:szCs w:val="20"/>
              </w:rPr>
              <w:t>Some staff told us they did not always feel listened to and did not receive meeting minutes if they failed to attend multi-disciplinary meetings limiting their ability to fully contribute to shared learning.</w:t>
            </w:r>
          </w:p>
          <w:p w14:paraId="1C21CDD5" w14:textId="77777777" w:rsidR="00C825D4" w:rsidRDefault="00F361D5" w:rsidP="00DC6A0E">
            <w:pPr>
              <w:pStyle w:val="ListParagraph"/>
              <w:numPr>
                <w:ilvl w:val="0"/>
                <w:numId w:val="7"/>
              </w:numPr>
              <w:rPr>
                <w:sz w:val="20"/>
                <w:szCs w:val="20"/>
              </w:rPr>
            </w:pPr>
            <w:r w:rsidRPr="00F361D5">
              <w:rPr>
                <w:sz w:val="20"/>
                <w:szCs w:val="20"/>
              </w:rPr>
              <w:t>There had been 3 significant events relating to delayed referrals, the actions identified had not mitigated the risk of the significant event from happening again.</w:t>
            </w:r>
          </w:p>
          <w:p w14:paraId="2569DE80" w14:textId="5102FE12" w:rsidR="00E8090F" w:rsidRPr="00B04ADD" w:rsidRDefault="00E8090F" w:rsidP="00DC6A0E">
            <w:pPr>
              <w:pStyle w:val="ListParagraph"/>
              <w:numPr>
                <w:ilvl w:val="0"/>
                <w:numId w:val="7"/>
              </w:numPr>
              <w:rPr>
                <w:sz w:val="20"/>
                <w:szCs w:val="20"/>
              </w:rPr>
            </w:pPr>
            <w:r w:rsidRPr="00E8090F">
              <w:rPr>
                <w:sz w:val="20"/>
                <w:szCs w:val="20"/>
              </w:rPr>
              <w:t>The practice informed us that meetings with non-clinical staff were held infrequently due to difficulties in gathering all staff together at the same time and that changes and improvements were communicated to staff members on an individual basis by the practice manager. We provided feedback to the practice that the lack of team meetings may not ensure consistency of messaging and missed learning opportunities for staff to discuss the learning with peers in these meetings.</w:t>
            </w:r>
          </w:p>
        </w:tc>
      </w:tr>
      <w:tr w:rsidR="007372FE" w14:paraId="6EF9FD92" w14:textId="77777777" w:rsidTr="00DC6A0E">
        <w:tc>
          <w:tcPr>
            <w:tcW w:w="4395" w:type="dxa"/>
            <w:shd w:val="clear" w:color="auto" w:fill="DAE9F7" w:themeFill="text2" w:themeFillTint="1A"/>
          </w:tcPr>
          <w:p w14:paraId="0F75A6C8" w14:textId="7B582D51" w:rsidR="007372FE" w:rsidRPr="00AC198E" w:rsidRDefault="007372FE" w:rsidP="00BF5B40">
            <w:r w:rsidRPr="00AC198E">
              <w:t>Safe systems, pathways and transitions</w:t>
            </w:r>
          </w:p>
        </w:tc>
        <w:tc>
          <w:tcPr>
            <w:tcW w:w="10773" w:type="dxa"/>
          </w:tcPr>
          <w:p w14:paraId="2F8C03B9" w14:textId="37F3EE9E" w:rsidR="00D148BD" w:rsidRPr="00B04ADD" w:rsidRDefault="00D01EEE" w:rsidP="00BD706D">
            <w:pPr>
              <w:pStyle w:val="ListParagraph"/>
              <w:numPr>
                <w:ilvl w:val="0"/>
                <w:numId w:val="8"/>
              </w:numPr>
              <w:rPr>
                <w:sz w:val="20"/>
                <w:szCs w:val="20"/>
              </w:rPr>
            </w:pPr>
            <w:r w:rsidRPr="00D01EEE">
              <w:rPr>
                <w:sz w:val="20"/>
                <w:szCs w:val="20"/>
              </w:rPr>
              <w:t>At the time of the inspection, there was a backlog of 120 new patient records awaiting summarisation</w:t>
            </w:r>
          </w:p>
        </w:tc>
      </w:tr>
      <w:tr w:rsidR="007372FE" w14:paraId="21C42957" w14:textId="77777777" w:rsidTr="00DC6A0E">
        <w:tc>
          <w:tcPr>
            <w:tcW w:w="4395" w:type="dxa"/>
            <w:shd w:val="clear" w:color="auto" w:fill="DAE9F7" w:themeFill="text2" w:themeFillTint="1A"/>
          </w:tcPr>
          <w:p w14:paraId="0781C839" w14:textId="50FDEAC9" w:rsidR="007372FE" w:rsidRPr="00AC198E" w:rsidRDefault="007372FE" w:rsidP="00BF5B40">
            <w:r w:rsidRPr="00AC198E">
              <w:t>Safeguarding</w:t>
            </w:r>
          </w:p>
        </w:tc>
        <w:tc>
          <w:tcPr>
            <w:tcW w:w="10773" w:type="dxa"/>
          </w:tcPr>
          <w:p w14:paraId="1A05167B" w14:textId="77777777" w:rsidR="004F720D" w:rsidRDefault="004D6DAF" w:rsidP="00B04ADD">
            <w:pPr>
              <w:pStyle w:val="ListParagraph"/>
              <w:numPr>
                <w:ilvl w:val="0"/>
                <w:numId w:val="9"/>
              </w:numPr>
              <w:rPr>
                <w:sz w:val="20"/>
                <w:szCs w:val="20"/>
              </w:rPr>
            </w:pPr>
            <w:r w:rsidRPr="004D6DAF">
              <w:rPr>
                <w:sz w:val="20"/>
                <w:szCs w:val="20"/>
              </w:rPr>
              <w:t>Staff clearly identified two lead roles for safeguarding: a lead for adults and a lead for children. However, leaders told us that there was only one nominated safeguarding lead for both adults and children. Therefore, this was unclear and could result in confusion.</w:t>
            </w:r>
          </w:p>
          <w:p w14:paraId="4453CE69" w14:textId="77777777" w:rsidR="00EA5626" w:rsidRDefault="00EA5626" w:rsidP="00B04ADD">
            <w:pPr>
              <w:pStyle w:val="ListParagraph"/>
              <w:numPr>
                <w:ilvl w:val="0"/>
                <w:numId w:val="9"/>
              </w:numPr>
              <w:rPr>
                <w:sz w:val="20"/>
                <w:szCs w:val="20"/>
              </w:rPr>
            </w:pPr>
            <w:r w:rsidRPr="00EA5626">
              <w:rPr>
                <w:sz w:val="20"/>
                <w:szCs w:val="20"/>
              </w:rPr>
              <w:t>On site we observed that there were posters in the clinical rooms offering a chaperone for patients, we did not see any posters placed in the waiting area and by reception</w:t>
            </w:r>
            <w:r>
              <w:rPr>
                <w:sz w:val="20"/>
                <w:szCs w:val="20"/>
              </w:rPr>
              <w:t>.</w:t>
            </w:r>
          </w:p>
          <w:p w14:paraId="18EAE1B1" w14:textId="0DB99BC0" w:rsidR="007B72DC" w:rsidRPr="00B04ADD" w:rsidRDefault="007B72DC" w:rsidP="00B04ADD">
            <w:pPr>
              <w:pStyle w:val="ListParagraph"/>
              <w:numPr>
                <w:ilvl w:val="0"/>
                <w:numId w:val="9"/>
              </w:numPr>
              <w:rPr>
                <w:sz w:val="20"/>
                <w:szCs w:val="20"/>
              </w:rPr>
            </w:pPr>
            <w:r w:rsidRPr="007B72DC">
              <w:rPr>
                <w:sz w:val="20"/>
                <w:szCs w:val="20"/>
              </w:rPr>
              <w:t>1 member of staff had not completed any safeguarding adults training. We saw that 10 reception and administrative staff had completed level 1 children safeguarding training. 2 members of staff had not completed this training.</w:t>
            </w:r>
          </w:p>
        </w:tc>
      </w:tr>
      <w:tr w:rsidR="007372FE" w14:paraId="275A8971" w14:textId="77777777" w:rsidTr="00DC6A0E">
        <w:tc>
          <w:tcPr>
            <w:tcW w:w="4395" w:type="dxa"/>
            <w:shd w:val="clear" w:color="auto" w:fill="DAE9F7" w:themeFill="text2" w:themeFillTint="1A"/>
          </w:tcPr>
          <w:p w14:paraId="7D72A659" w14:textId="54FC5A62" w:rsidR="007372FE" w:rsidRPr="00AC198E" w:rsidRDefault="007372FE" w:rsidP="00BF5B40">
            <w:r w:rsidRPr="00AC198E">
              <w:lastRenderedPageBreak/>
              <w:t>Involving people to manage risks</w:t>
            </w:r>
          </w:p>
        </w:tc>
        <w:tc>
          <w:tcPr>
            <w:tcW w:w="10773" w:type="dxa"/>
          </w:tcPr>
          <w:p w14:paraId="62B961AF" w14:textId="233A579E" w:rsidR="00231B15" w:rsidRDefault="00231B15" w:rsidP="00E778BE">
            <w:pPr>
              <w:pStyle w:val="ListParagraph"/>
              <w:numPr>
                <w:ilvl w:val="0"/>
                <w:numId w:val="9"/>
              </w:numPr>
              <w:rPr>
                <w:sz w:val="20"/>
                <w:szCs w:val="20"/>
              </w:rPr>
            </w:pPr>
            <w:r>
              <w:rPr>
                <w:sz w:val="20"/>
                <w:szCs w:val="20"/>
              </w:rPr>
              <w:t>M</w:t>
            </w:r>
            <w:r w:rsidRPr="00231B15">
              <w:rPr>
                <w:sz w:val="20"/>
                <w:szCs w:val="20"/>
              </w:rPr>
              <w:t>edication reviews were not comprehensive and individuals with long term conditions did not always have regular reviews</w:t>
            </w:r>
          </w:p>
          <w:p w14:paraId="041B761E" w14:textId="77777777" w:rsidR="00015C72" w:rsidRDefault="00CC58F9" w:rsidP="00E778BE">
            <w:pPr>
              <w:pStyle w:val="ListParagraph"/>
              <w:numPr>
                <w:ilvl w:val="0"/>
                <w:numId w:val="9"/>
              </w:numPr>
              <w:rPr>
                <w:sz w:val="20"/>
                <w:szCs w:val="20"/>
              </w:rPr>
            </w:pPr>
            <w:r w:rsidRPr="00CC58F9">
              <w:rPr>
                <w:sz w:val="20"/>
                <w:szCs w:val="20"/>
              </w:rPr>
              <w:t>Our clinical searches found service user blood pressure recordings were altered and backdated and appropriate actions were not always taken following high blood pressure results. Therefore, we were not assured at the level of accuracy of these records.</w:t>
            </w:r>
          </w:p>
          <w:p w14:paraId="061D54C4" w14:textId="77777777" w:rsidR="00231B15" w:rsidRDefault="00231B15" w:rsidP="00E778BE">
            <w:pPr>
              <w:pStyle w:val="ListParagraph"/>
              <w:numPr>
                <w:ilvl w:val="0"/>
                <w:numId w:val="9"/>
              </w:numPr>
              <w:rPr>
                <w:sz w:val="20"/>
                <w:szCs w:val="20"/>
              </w:rPr>
            </w:pPr>
            <w:r w:rsidRPr="00231B15">
              <w:rPr>
                <w:sz w:val="20"/>
                <w:szCs w:val="20"/>
              </w:rPr>
              <w:t xml:space="preserve">Tamper proof seals were not in place for relevant medicines and there was no record kept of this. We did not see evidence that staff had undertaken training on managing the deteriorating </w:t>
            </w:r>
            <w:proofErr w:type="gramStart"/>
            <w:r w:rsidRPr="00231B15">
              <w:rPr>
                <w:sz w:val="20"/>
                <w:szCs w:val="20"/>
              </w:rPr>
              <w:t>patient</w:t>
            </w:r>
            <w:proofErr w:type="gramEnd"/>
            <w:r w:rsidRPr="00231B15">
              <w:rPr>
                <w:sz w:val="20"/>
                <w:szCs w:val="20"/>
              </w:rPr>
              <w:t xml:space="preserve"> but we were told records needed updating.</w:t>
            </w:r>
          </w:p>
          <w:p w14:paraId="59BC7427" w14:textId="77777777" w:rsidR="00B14163" w:rsidRDefault="00B14163" w:rsidP="00E778BE">
            <w:pPr>
              <w:pStyle w:val="ListParagraph"/>
              <w:numPr>
                <w:ilvl w:val="0"/>
                <w:numId w:val="9"/>
              </w:numPr>
              <w:rPr>
                <w:sz w:val="20"/>
                <w:szCs w:val="20"/>
              </w:rPr>
            </w:pPr>
            <w:r w:rsidRPr="00B14163">
              <w:rPr>
                <w:sz w:val="20"/>
                <w:szCs w:val="20"/>
              </w:rPr>
              <w:t>We carried out remote searches of clinical records as part of our assessment and conducted a search on patients that needed follow up bloods. We identified a total of 9 patients and reviewed a random sample of 5 patient records. We found that 5 out of 5 patients had not had their follow appointment.</w:t>
            </w:r>
          </w:p>
          <w:p w14:paraId="2E670E42" w14:textId="77777777" w:rsidR="00950F94" w:rsidRDefault="00950F94" w:rsidP="00E778BE">
            <w:pPr>
              <w:pStyle w:val="ListParagraph"/>
              <w:numPr>
                <w:ilvl w:val="0"/>
                <w:numId w:val="9"/>
              </w:numPr>
              <w:rPr>
                <w:sz w:val="20"/>
                <w:szCs w:val="20"/>
              </w:rPr>
            </w:pPr>
            <w:r w:rsidRPr="00950F94">
              <w:rPr>
                <w:sz w:val="20"/>
                <w:szCs w:val="20"/>
              </w:rPr>
              <w:t>We found there was a lack of follow up within a short time frame after steroids given for an exacerbation of asthma. We found 48 patients had been prescribed 2 or more courses of steroids in the last 12 months. We reviewed 5 records and found that none of these patients had received a follow up within 1 week of steroids.</w:t>
            </w:r>
          </w:p>
          <w:p w14:paraId="26DD695F" w14:textId="77777777" w:rsidR="00F07041" w:rsidRDefault="00F07041" w:rsidP="00E778BE">
            <w:pPr>
              <w:pStyle w:val="ListParagraph"/>
              <w:numPr>
                <w:ilvl w:val="0"/>
                <w:numId w:val="9"/>
              </w:numPr>
              <w:rPr>
                <w:sz w:val="20"/>
                <w:szCs w:val="20"/>
              </w:rPr>
            </w:pPr>
            <w:r>
              <w:rPr>
                <w:sz w:val="20"/>
                <w:szCs w:val="20"/>
              </w:rPr>
              <w:t>T</w:t>
            </w:r>
            <w:r w:rsidRPr="00F07041">
              <w:rPr>
                <w:sz w:val="20"/>
                <w:szCs w:val="20"/>
              </w:rPr>
              <w:t>he provider did not have sufficient checks in place to ensure that receptionists carried out patient triage correctly, particularly when patients were being diverted to other services.</w:t>
            </w:r>
          </w:p>
          <w:p w14:paraId="3264A9EE" w14:textId="6F5062AF" w:rsidR="00FE6C76" w:rsidRPr="00E778BE" w:rsidRDefault="0076045F" w:rsidP="00E778BE">
            <w:pPr>
              <w:pStyle w:val="ListParagraph"/>
              <w:numPr>
                <w:ilvl w:val="0"/>
                <w:numId w:val="9"/>
              </w:numPr>
              <w:rPr>
                <w:sz w:val="20"/>
                <w:szCs w:val="20"/>
              </w:rPr>
            </w:pPr>
            <w:r>
              <w:rPr>
                <w:sz w:val="20"/>
                <w:szCs w:val="20"/>
              </w:rPr>
              <w:t>T</w:t>
            </w:r>
            <w:r w:rsidR="00FE6C76" w:rsidRPr="00FE6C76">
              <w:rPr>
                <w:sz w:val="20"/>
                <w:szCs w:val="20"/>
              </w:rPr>
              <w:t>raining records we reviewed did not demonstrate that all staff were up to date with basic life support and sepsis awareness training.</w:t>
            </w:r>
          </w:p>
        </w:tc>
      </w:tr>
      <w:tr w:rsidR="007372FE" w14:paraId="6ABFB7A6" w14:textId="77777777" w:rsidTr="00DC6A0E">
        <w:tc>
          <w:tcPr>
            <w:tcW w:w="4395" w:type="dxa"/>
            <w:shd w:val="clear" w:color="auto" w:fill="DAE9F7" w:themeFill="text2" w:themeFillTint="1A"/>
          </w:tcPr>
          <w:p w14:paraId="575772C4" w14:textId="5339C74B" w:rsidR="007372FE" w:rsidRPr="00AC198E" w:rsidRDefault="007372FE" w:rsidP="00BF5B40">
            <w:r w:rsidRPr="00AC198E">
              <w:t>Safe environments</w:t>
            </w:r>
          </w:p>
        </w:tc>
        <w:tc>
          <w:tcPr>
            <w:tcW w:w="10773" w:type="dxa"/>
          </w:tcPr>
          <w:p w14:paraId="2B9F6E64" w14:textId="77777777" w:rsidR="005D2A8C" w:rsidRDefault="00BE16CD" w:rsidP="00453884">
            <w:pPr>
              <w:pStyle w:val="ListParagraph"/>
              <w:numPr>
                <w:ilvl w:val="0"/>
                <w:numId w:val="10"/>
              </w:numPr>
              <w:rPr>
                <w:sz w:val="20"/>
                <w:szCs w:val="20"/>
              </w:rPr>
            </w:pPr>
            <w:r w:rsidRPr="00BE16CD">
              <w:rPr>
                <w:sz w:val="20"/>
                <w:szCs w:val="20"/>
              </w:rPr>
              <w:t xml:space="preserve">The premises was owned by NHS Property </w:t>
            </w:r>
            <w:proofErr w:type="gramStart"/>
            <w:r w:rsidRPr="00BE16CD">
              <w:rPr>
                <w:sz w:val="20"/>
                <w:szCs w:val="20"/>
              </w:rPr>
              <w:t>Services</w:t>
            </w:r>
            <w:proofErr w:type="gramEnd"/>
            <w:r w:rsidRPr="00BE16CD">
              <w:rPr>
                <w:sz w:val="20"/>
                <w:szCs w:val="20"/>
              </w:rPr>
              <w:t xml:space="preserve"> and they were responsible for maintenance of the building. Despite this, the practice lacked oversight of what was being carried </w:t>
            </w:r>
            <w:proofErr w:type="gramStart"/>
            <w:r w:rsidRPr="00BE16CD">
              <w:rPr>
                <w:sz w:val="20"/>
                <w:szCs w:val="20"/>
              </w:rPr>
              <w:t>out</w:t>
            </w:r>
            <w:proofErr w:type="gramEnd"/>
            <w:r w:rsidRPr="00BE16CD">
              <w:rPr>
                <w:sz w:val="20"/>
                <w:szCs w:val="20"/>
              </w:rPr>
              <w:t xml:space="preserve"> and actions were not all completed from outstanding risk assessments and actions relating to the area of the building they provided services from. A risk log was in place but was not well maintained. There was no external signage indicating the name of the practice. This meant people not familiar with the building could find it difficult to find the practice. The practice was limited by space and was awaiting a portacabin delivery to allow for much needed additional capacity. The waste area was not secure</w:t>
            </w:r>
            <w:r w:rsidR="008A1BD7">
              <w:rPr>
                <w:sz w:val="20"/>
                <w:szCs w:val="20"/>
              </w:rPr>
              <w:t>.</w:t>
            </w:r>
          </w:p>
          <w:p w14:paraId="2E2A7CF1" w14:textId="77777777" w:rsidR="008A1BD7" w:rsidRDefault="008A1BD7" w:rsidP="00453884">
            <w:pPr>
              <w:pStyle w:val="ListParagraph"/>
              <w:numPr>
                <w:ilvl w:val="0"/>
                <w:numId w:val="10"/>
              </w:numPr>
              <w:rPr>
                <w:sz w:val="20"/>
                <w:szCs w:val="20"/>
              </w:rPr>
            </w:pPr>
            <w:r w:rsidRPr="008A1BD7">
              <w:rPr>
                <w:sz w:val="20"/>
                <w:szCs w:val="20"/>
              </w:rPr>
              <w:t>Leaders told us that a safety goal was to improve emergency response times. To achieve this, they were going to conduct mock drills with staff to assert understanding of practice safety. We did not see any evidence that these mock drills had been conducted.</w:t>
            </w:r>
          </w:p>
          <w:p w14:paraId="2BA16517" w14:textId="77777777" w:rsidR="008A1BD7" w:rsidRDefault="008A1BD7" w:rsidP="00453884">
            <w:pPr>
              <w:pStyle w:val="ListParagraph"/>
              <w:numPr>
                <w:ilvl w:val="0"/>
                <w:numId w:val="10"/>
              </w:numPr>
              <w:rPr>
                <w:sz w:val="20"/>
                <w:szCs w:val="20"/>
              </w:rPr>
            </w:pPr>
            <w:r>
              <w:rPr>
                <w:sz w:val="20"/>
                <w:szCs w:val="20"/>
              </w:rPr>
              <w:t>A</w:t>
            </w:r>
            <w:r w:rsidRPr="008A1BD7">
              <w:rPr>
                <w:sz w:val="20"/>
                <w:szCs w:val="20"/>
              </w:rPr>
              <w:t xml:space="preserve"> store cupboard containing electrical equipment was reported to have raised room temperatures. There was no temperature monitoring of this room, despite there being medicines and other clinical equipment present.</w:t>
            </w:r>
          </w:p>
          <w:p w14:paraId="50DAA451" w14:textId="0B002687" w:rsidR="00515D2C" w:rsidRPr="00453884" w:rsidRDefault="00515D2C" w:rsidP="00453884">
            <w:pPr>
              <w:pStyle w:val="ListParagraph"/>
              <w:numPr>
                <w:ilvl w:val="0"/>
                <w:numId w:val="10"/>
              </w:numPr>
              <w:rPr>
                <w:sz w:val="20"/>
                <w:szCs w:val="20"/>
              </w:rPr>
            </w:pPr>
            <w:r w:rsidRPr="00515D2C">
              <w:rPr>
                <w:sz w:val="20"/>
                <w:szCs w:val="20"/>
              </w:rPr>
              <w:t>The practice told us that it had recently had a fire drill but that this was not planned and not logged. The last fire drill was some time ago. The practice should ensure that regular, documented fire drills take place. We noted a fridge kept in the reception area had not had portable appliance testing (PAT).</w:t>
            </w:r>
          </w:p>
        </w:tc>
      </w:tr>
      <w:tr w:rsidR="007372FE" w14:paraId="5A75CA24" w14:textId="77777777" w:rsidTr="00DC6A0E">
        <w:tc>
          <w:tcPr>
            <w:tcW w:w="4395" w:type="dxa"/>
            <w:shd w:val="clear" w:color="auto" w:fill="DAE9F7" w:themeFill="text2" w:themeFillTint="1A"/>
          </w:tcPr>
          <w:p w14:paraId="0DCD112B" w14:textId="39EC7A96" w:rsidR="007372FE" w:rsidRPr="00AC198E" w:rsidRDefault="007372FE" w:rsidP="00BF5B40">
            <w:r w:rsidRPr="00AC198E">
              <w:t>Safe and effective staffing</w:t>
            </w:r>
          </w:p>
        </w:tc>
        <w:tc>
          <w:tcPr>
            <w:tcW w:w="10773" w:type="dxa"/>
          </w:tcPr>
          <w:p w14:paraId="232A97B0" w14:textId="77777777" w:rsidR="00445A5A" w:rsidRDefault="00686010" w:rsidP="009D4224">
            <w:pPr>
              <w:pStyle w:val="ListParagraph"/>
              <w:numPr>
                <w:ilvl w:val="0"/>
                <w:numId w:val="10"/>
              </w:numPr>
              <w:rPr>
                <w:sz w:val="20"/>
                <w:szCs w:val="20"/>
              </w:rPr>
            </w:pPr>
            <w:r>
              <w:rPr>
                <w:sz w:val="20"/>
                <w:szCs w:val="20"/>
              </w:rPr>
              <w:t>S</w:t>
            </w:r>
            <w:r w:rsidRPr="00686010">
              <w:rPr>
                <w:sz w:val="20"/>
                <w:szCs w:val="20"/>
              </w:rPr>
              <w:t>ome staff told us they were not given a break during the working day</w:t>
            </w:r>
            <w:r>
              <w:rPr>
                <w:sz w:val="20"/>
                <w:szCs w:val="20"/>
              </w:rPr>
              <w:t>.</w:t>
            </w:r>
          </w:p>
          <w:p w14:paraId="016C19EA" w14:textId="77777777" w:rsidR="00686010" w:rsidRDefault="00686010" w:rsidP="009D4224">
            <w:pPr>
              <w:pStyle w:val="ListParagraph"/>
              <w:numPr>
                <w:ilvl w:val="0"/>
                <w:numId w:val="10"/>
              </w:numPr>
              <w:rPr>
                <w:sz w:val="20"/>
                <w:szCs w:val="20"/>
              </w:rPr>
            </w:pPr>
            <w:r w:rsidRPr="00686010">
              <w:rPr>
                <w:sz w:val="20"/>
                <w:szCs w:val="20"/>
              </w:rPr>
              <w:t>We found an inconsistent approach to ensuring safe recruitment of staff. We saw evidence of staff files we sampled lacking required documentation to ensure staff were safe to work</w:t>
            </w:r>
            <w:r w:rsidR="002A06FA">
              <w:rPr>
                <w:sz w:val="20"/>
                <w:szCs w:val="20"/>
              </w:rPr>
              <w:t>.</w:t>
            </w:r>
          </w:p>
          <w:p w14:paraId="322420AB" w14:textId="77777777" w:rsidR="002A06FA" w:rsidRDefault="002A06FA" w:rsidP="009D4224">
            <w:pPr>
              <w:pStyle w:val="ListParagraph"/>
              <w:numPr>
                <w:ilvl w:val="0"/>
                <w:numId w:val="10"/>
              </w:numPr>
              <w:rPr>
                <w:sz w:val="20"/>
                <w:szCs w:val="20"/>
              </w:rPr>
            </w:pPr>
            <w:r w:rsidRPr="002A06FA">
              <w:rPr>
                <w:sz w:val="20"/>
                <w:szCs w:val="20"/>
              </w:rPr>
              <w:lastRenderedPageBreak/>
              <w:t>some recruitment records were incomplete, with missing documentation such as copies of references and evidence of immunisation status for some staff members. Not all staff had completed their mandatory training, and the practice manager did not have full training records available at the time of the inspection.</w:t>
            </w:r>
          </w:p>
          <w:p w14:paraId="759E64FE" w14:textId="77777777" w:rsidR="00063007" w:rsidRDefault="00063007" w:rsidP="009D4224">
            <w:pPr>
              <w:pStyle w:val="ListParagraph"/>
              <w:numPr>
                <w:ilvl w:val="0"/>
                <w:numId w:val="10"/>
              </w:numPr>
              <w:rPr>
                <w:sz w:val="20"/>
                <w:szCs w:val="20"/>
              </w:rPr>
            </w:pPr>
            <w:r w:rsidRPr="00063007">
              <w:rPr>
                <w:sz w:val="20"/>
                <w:szCs w:val="20"/>
              </w:rPr>
              <w:t xml:space="preserve">During our site visit staff </w:t>
            </w:r>
            <w:proofErr w:type="gramStart"/>
            <w:r w:rsidRPr="00063007">
              <w:rPr>
                <w:sz w:val="20"/>
                <w:szCs w:val="20"/>
              </w:rPr>
              <w:t>were not able to</w:t>
            </w:r>
            <w:proofErr w:type="gramEnd"/>
            <w:r w:rsidRPr="00063007">
              <w:rPr>
                <w:sz w:val="20"/>
                <w:szCs w:val="20"/>
              </w:rPr>
              <w:t xml:space="preserve"> locate 2 of the clinical staff files that we requested to see. We reviewed these remotely after the visit. Following the visit the provider reviewed their processes and implemented a new system however, we found that there were still gaps. We found 1 out of 6 files did not contain proof of identity, 3 files did not contain satisfactory evidence of conduct in previous employment, 5 files did not contain any evidence of employment history, and 4 files did not contain any evidence of supervision or appraisal.</w:t>
            </w:r>
          </w:p>
          <w:p w14:paraId="51F3D09C" w14:textId="77777777" w:rsidR="00271AAC" w:rsidRDefault="00271AAC" w:rsidP="009D4224">
            <w:pPr>
              <w:pStyle w:val="ListParagraph"/>
              <w:numPr>
                <w:ilvl w:val="0"/>
                <w:numId w:val="10"/>
              </w:numPr>
              <w:rPr>
                <w:sz w:val="20"/>
                <w:szCs w:val="20"/>
              </w:rPr>
            </w:pPr>
            <w:r w:rsidRPr="00271AAC">
              <w:rPr>
                <w:sz w:val="20"/>
                <w:szCs w:val="20"/>
              </w:rPr>
              <w:t>The provider did not have a process of ensuring they had recorded the vaccination status of staff in line with current guidance. 4 out of 6 of the staff files we saw did not contain a record of immunisation.</w:t>
            </w:r>
          </w:p>
          <w:p w14:paraId="60C27D36" w14:textId="77777777" w:rsidR="00003FDD" w:rsidRDefault="00003FDD" w:rsidP="009D4224">
            <w:pPr>
              <w:pStyle w:val="ListParagraph"/>
              <w:numPr>
                <w:ilvl w:val="0"/>
                <w:numId w:val="10"/>
              </w:numPr>
              <w:rPr>
                <w:sz w:val="20"/>
                <w:szCs w:val="20"/>
              </w:rPr>
            </w:pPr>
            <w:r w:rsidRPr="00003FDD">
              <w:rPr>
                <w:sz w:val="20"/>
                <w:szCs w:val="20"/>
              </w:rPr>
              <w:t>A clinical supervision policy had been created in June 2024 however; we did not see evidence that this had been embedded yet. Leaders told us that staff' learning needs were identified through annual appraisals, team feedback, and clinical audits. However, we did not see any evidence that these had occurred.</w:t>
            </w:r>
          </w:p>
          <w:p w14:paraId="6645F5AD" w14:textId="77777777" w:rsidR="000C3596" w:rsidRDefault="000C3596" w:rsidP="009D4224">
            <w:pPr>
              <w:pStyle w:val="ListParagraph"/>
              <w:numPr>
                <w:ilvl w:val="0"/>
                <w:numId w:val="10"/>
              </w:numPr>
              <w:rPr>
                <w:sz w:val="20"/>
                <w:szCs w:val="20"/>
              </w:rPr>
            </w:pPr>
            <w:r w:rsidRPr="000C3596">
              <w:rPr>
                <w:sz w:val="20"/>
                <w:szCs w:val="20"/>
              </w:rPr>
              <w:t>The practice had a recently implemented performance appraisal policy and procedure; however, we found that this was not being adhered to. We did not see any annual formal appraisals in staff files.</w:t>
            </w:r>
          </w:p>
          <w:p w14:paraId="0F184C2E" w14:textId="1BD17115" w:rsidR="00770B33" w:rsidRPr="009D4224" w:rsidRDefault="00770B33" w:rsidP="009D4224">
            <w:pPr>
              <w:pStyle w:val="ListParagraph"/>
              <w:numPr>
                <w:ilvl w:val="0"/>
                <w:numId w:val="10"/>
              </w:numPr>
              <w:rPr>
                <w:sz w:val="20"/>
                <w:szCs w:val="20"/>
              </w:rPr>
            </w:pPr>
            <w:r w:rsidRPr="00770B33">
              <w:rPr>
                <w:sz w:val="20"/>
                <w:szCs w:val="20"/>
              </w:rPr>
              <w:t>We did not see evidence that staff had consistently completed or had undertaken training in basic life support, fire safety, Mental Capacity Act, safeguarding adults and children (to the appropriate level for their role) and sepsis awareness training.</w:t>
            </w:r>
          </w:p>
        </w:tc>
      </w:tr>
      <w:tr w:rsidR="007372FE" w14:paraId="1979B55C" w14:textId="77777777" w:rsidTr="00DC6A0E">
        <w:tc>
          <w:tcPr>
            <w:tcW w:w="4395" w:type="dxa"/>
            <w:shd w:val="clear" w:color="auto" w:fill="DAE9F7" w:themeFill="text2" w:themeFillTint="1A"/>
          </w:tcPr>
          <w:p w14:paraId="7F7D107B" w14:textId="580FD394" w:rsidR="007372FE" w:rsidRPr="00AC198E" w:rsidRDefault="007372FE" w:rsidP="00BF5B40">
            <w:r w:rsidRPr="00AC198E">
              <w:lastRenderedPageBreak/>
              <w:t>Infection prevention and control</w:t>
            </w:r>
          </w:p>
        </w:tc>
        <w:tc>
          <w:tcPr>
            <w:tcW w:w="10773" w:type="dxa"/>
          </w:tcPr>
          <w:p w14:paraId="0DFBC489" w14:textId="77777777" w:rsidR="001C25F2" w:rsidRDefault="003A6A5A" w:rsidP="00CE5763">
            <w:pPr>
              <w:pStyle w:val="ListParagraph"/>
              <w:numPr>
                <w:ilvl w:val="0"/>
                <w:numId w:val="11"/>
              </w:numPr>
              <w:rPr>
                <w:sz w:val="20"/>
                <w:szCs w:val="20"/>
              </w:rPr>
            </w:pPr>
            <w:r>
              <w:rPr>
                <w:sz w:val="20"/>
                <w:szCs w:val="20"/>
              </w:rPr>
              <w:t>W</w:t>
            </w:r>
            <w:r w:rsidRPr="003A6A5A">
              <w:rPr>
                <w:sz w:val="20"/>
                <w:szCs w:val="20"/>
              </w:rPr>
              <w:t>e found there were gaps in the auditing and there were carpets in some clinical rooms.</w:t>
            </w:r>
          </w:p>
          <w:p w14:paraId="411E75AC" w14:textId="77777777" w:rsidR="00647D20" w:rsidRDefault="00647D20" w:rsidP="00CE5763">
            <w:pPr>
              <w:pStyle w:val="ListParagraph"/>
              <w:numPr>
                <w:ilvl w:val="0"/>
                <w:numId w:val="11"/>
              </w:numPr>
              <w:rPr>
                <w:sz w:val="20"/>
                <w:szCs w:val="20"/>
              </w:rPr>
            </w:pPr>
            <w:r w:rsidRPr="00647D20">
              <w:rPr>
                <w:sz w:val="20"/>
                <w:szCs w:val="20"/>
              </w:rPr>
              <w:t>Some staff we spoke with could not identify the infection, prevention and control lead.</w:t>
            </w:r>
          </w:p>
          <w:p w14:paraId="128C445B" w14:textId="77777777" w:rsidR="002074A6" w:rsidRDefault="002074A6" w:rsidP="00CE5763">
            <w:pPr>
              <w:pStyle w:val="ListParagraph"/>
              <w:numPr>
                <w:ilvl w:val="0"/>
                <w:numId w:val="11"/>
              </w:numPr>
              <w:rPr>
                <w:sz w:val="20"/>
                <w:szCs w:val="20"/>
              </w:rPr>
            </w:pPr>
            <w:r>
              <w:rPr>
                <w:sz w:val="20"/>
                <w:szCs w:val="20"/>
              </w:rPr>
              <w:t>W</w:t>
            </w:r>
            <w:r w:rsidRPr="002074A6">
              <w:rPr>
                <w:sz w:val="20"/>
                <w:szCs w:val="20"/>
              </w:rPr>
              <w:t>e observed two closed sharps boxes in a consultation room and an open sharps box in the staff area on the upper floor. The practice told us that the sharps box in the staff room did not contain sharps and confirmed that it had been removed after we provided feedback. The practice confirmed that one of the sharps boxes in the consultation room was half closed and that the other would be checked. We provided feedback that closed sharps boxes should be dated and the staff member’s initials added before disposal.</w:t>
            </w:r>
          </w:p>
          <w:p w14:paraId="7696F8ED" w14:textId="77777777" w:rsidR="006E67DB" w:rsidRDefault="006E67DB" w:rsidP="00CE5763">
            <w:pPr>
              <w:pStyle w:val="ListParagraph"/>
              <w:numPr>
                <w:ilvl w:val="0"/>
                <w:numId w:val="11"/>
              </w:numPr>
              <w:rPr>
                <w:sz w:val="20"/>
                <w:szCs w:val="20"/>
              </w:rPr>
            </w:pPr>
            <w:r w:rsidRPr="006E67DB">
              <w:rPr>
                <w:sz w:val="20"/>
                <w:szCs w:val="20"/>
              </w:rPr>
              <w:t>We noted that the practice’s cold chain policy detailed that daily temperature checks should take place in addition to the use of a data logger and the practice should consider implementing a protocol to ensure that staff were available to deputise in the absence of staff who normally conducted the temperature checks.</w:t>
            </w:r>
          </w:p>
          <w:p w14:paraId="63553DBE" w14:textId="77777777" w:rsidR="00B07A8A" w:rsidRDefault="00B07A8A" w:rsidP="00CE5763">
            <w:pPr>
              <w:pStyle w:val="ListParagraph"/>
              <w:numPr>
                <w:ilvl w:val="0"/>
                <w:numId w:val="11"/>
              </w:numPr>
              <w:rPr>
                <w:sz w:val="20"/>
                <w:szCs w:val="20"/>
              </w:rPr>
            </w:pPr>
            <w:r>
              <w:rPr>
                <w:sz w:val="20"/>
                <w:szCs w:val="20"/>
              </w:rPr>
              <w:t>W</w:t>
            </w:r>
            <w:r w:rsidRPr="00B07A8A">
              <w:rPr>
                <w:sz w:val="20"/>
                <w:szCs w:val="20"/>
              </w:rPr>
              <w:t>e found that the hand gel dispenser in the reception area was empty and the downstairs disabled toilet had damaged sealant by the skirting board</w:t>
            </w:r>
            <w:r>
              <w:rPr>
                <w:sz w:val="20"/>
                <w:szCs w:val="20"/>
              </w:rPr>
              <w:t>. B</w:t>
            </w:r>
            <w:r w:rsidRPr="00B07A8A">
              <w:rPr>
                <w:sz w:val="20"/>
                <w:szCs w:val="20"/>
              </w:rPr>
              <w:t>linds in the downstairs reception area were not visibly clean and in a well-maintained condition.</w:t>
            </w:r>
          </w:p>
          <w:p w14:paraId="7BEE4388" w14:textId="0B82AC9E" w:rsidR="00C10379" w:rsidRPr="0072271B" w:rsidRDefault="00C10379" w:rsidP="00CE5763">
            <w:pPr>
              <w:pStyle w:val="ListParagraph"/>
              <w:numPr>
                <w:ilvl w:val="0"/>
                <w:numId w:val="11"/>
              </w:numPr>
              <w:rPr>
                <w:sz w:val="20"/>
                <w:szCs w:val="20"/>
              </w:rPr>
            </w:pPr>
            <w:r w:rsidRPr="00C10379">
              <w:rPr>
                <w:sz w:val="20"/>
                <w:szCs w:val="20"/>
              </w:rPr>
              <w:t>The practice had an infection prevention control handbook which was available for staff, although this did not have a date of issue or date of review included.</w:t>
            </w:r>
          </w:p>
        </w:tc>
      </w:tr>
      <w:tr w:rsidR="007372FE" w14:paraId="626B51E1" w14:textId="77777777" w:rsidTr="00DC6A0E">
        <w:tc>
          <w:tcPr>
            <w:tcW w:w="4395" w:type="dxa"/>
            <w:shd w:val="clear" w:color="auto" w:fill="DAE9F7" w:themeFill="text2" w:themeFillTint="1A"/>
          </w:tcPr>
          <w:p w14:paraId="7D78D815" w14:textId="5918A03F" w:rsidR="007372FE" w:rsidRPr="00AC198E" w:rsidRDefault="007372FE" w:rsidP="00BF5B40">
            <w:r w:rsidRPr="00AC198E">
              <w:t>Medicines optimisation</w:t>
            </w:r>
          </w:p>
        </w:tc>
        <w:tc>
          <w:tcPr>
            <w:tcW w:w="10773" w:type="dxa"/>
          </w:tcPr>
          <w:p w14:paraId="29B01359" w14:textId="03B95B49" w:rsidR="003A6A5A" w:rsidRPr="00A87191" w:rsidRDefault="00A87191" w:rsidP="00A87191">
            <w:pPr>
              <w:pStyle w:val="ListParagraph"/>
              <w:numPr>
                <w:ilvl w:val="0"/>
                <w:numId w:val="12"/>
              </w:numPr>
              <w:tabs>
                <w:tab w:val="left" w:pos="2216"/>
              </w:tabs>
              <w:rPr>
                <w:sz w:val="20"/>
                <w:szCs w:val="20"/>
              </w:rPr>
            </w:pPr>
            <w:r>
              <w:rPr>
                <w:sz w:val="20"/>
                <w:szCs w:val="20"/>
              </w:rPr>
              <w:t>R</w:t>
            </w:r>
            <w:r w:rsidR="003A6A5A" w:rsidRPr="003A6A5A">
              <w:rPr>
                <w:sz w:val="20"/>
                <w:szCs w:val="20"/>
              </w:rPr>
              <w:t>emote clinical searches were conducted by one of our GP Specialist Advisors.</w:t>
            </w:r>
            <w:r>
              <w:rPr>
                <w:sz w:val="20"/>
                <w:szCs w:val="20"/>
              </w:rPr>
              <w:t xml:space="preserve"> For </w:t>
            </w:r>
            <w:proofErr w:type="gramStart"/>
            <w:r>
              <w:rPr>
                <w:sz w:val="20"/>
                <w:szCs w:val="20"/>
              </w:rPr>
              <w:t>h</w:t>
            </w:r>
            <w:r w:rsidRPr="00A87191">
              <w:rPr>
                <w:sz w:val="20"/>
                <w:szCs w:val="20"/>
              </w:rPr>
              <w:t>igh risk</w:t>
            </w:r>
            <w:proofErr w:type="gramEnd"/>
            <w:r w:rsidRPr="00A87191">
              <w:rPr>
                <w:sz w:val="20"/>
                <w:szCs w:val="20"/>
              </w:rPr>
              <w:t xml:space="preserve"> medication such as leflunomide (a drug used to treat active rheumatoid arthritis</w:t>
            </w:r>
            <w:r>
              <w:rPr>
                <w:sz w:val="20"/>
                <w:szCs w:val="20"/>
              </w:rPr>
              <w:t>),</w:t>
            </w:r>
            <w:r w:rsidRPr="00A87191">
              <w:rPr>
                <w:sz w:val="20"/>
                <w:szCs w:val="20"/>
              </w:rPr>
              <w:t xml:space="preserve"> 3 out of 4 patients did not have their blood pressure and weight recorded before being prescribed leflunomide.</w:t>
            </w:r>
            <w:r>
              <w:rPr>
                <w:sz w:val="20"/>
                <w:szCs w:val="20"/>
              </w:rPr>
              <w:t xml:space="preserve"> </w:t>
            </w:r>
            <w:r w:rsidRPr="00A87191">
              <w:rPr>
                <w:sz w:val="20"/>
                <w:szCs w:val="20"/>
              </w:rPr>
              <w:t>70 patients who were elderly and on oral NSAID for over 65 years or antiplatelet over 75 years and no PPI</w:t>
            </w:r>
            <w:r w:rsidR="00E25140">
              <w:rPr>
                <w:sz w:val="20"/>
                <w:szCs w:val="20"/>
              </w:rPr>
              <w:t xml:space="preserve">. </w:t>
            </w:r>
            <w:r w:rsidRPr="00A87191">
              <w:rPr>
                <w:sz w:val="20"/>
                <w:szCs w:val="20"/>
              </w:rPr>
              <w:t>We reviewed a random sample of 5 patients and 5 out of 5 patients were not prescribed a PPI.</w:t>
            </w:r>
          </w:p>
          <w:p w14:paraId="07B4FE79" w14:textId="656D35A6" w:rsidR="000D643C" w:rsidRDefault="00D223F7" w:rsidP="00B42D74">
            <w:pPr>
              <w:pStyle w:val="ListParagraph"/>
              <w:numPr>
                <w:ilvl w:val="0"/>
                <w:numId w:val="12"/>
              </w:numPr>
              <w:tabs>
                <w:tab w:val="left" w:pos="2216"/>
              </w:tabs>
              <w:rPr>
                <w:sz w:val="20"/>
                <w:szCs w:val="20"/>
              </w:rPr>
            </w:pPr>
            <w:r w:rsidRPr="00D223F7">
              <w:rPr>
                <w:sz w:val="20"/>
                <w:szCs w:val="20"/>
              </w:rPr>
              <w:t>Blank prescriptions were not stored securely, as there were no robust audit processes to safely manage them</w:t>
            </w:r>
          </w:p>
          <w:p w14:paraId="544657C3" w14:textId="77777777" w:rsidR="00D223F7" w:rsidRDefault="00D223F7" w:rsidP="00B42D74">
            <w:pPr>
              <w:pStyle w:val="ListParagraph"/>
              <w:numPr>
                <w:ilvl w:val="0"/>
                <w:numId w:val="12"/>
              </w:numPr>
              <w:tabs>
                <w:tab w:val="left" w:pos="2216"/>
              </w:tabs>
              <w:rPr>
                <w:sz w:val="20"/>
                <w:szCs w:val="20"/>
              </w:rPr>
            </w:pPr>
            <w:r>
              <w:rPr>
                <w:sz w:val="20"/>
                <w:szCs w:val="20"/>
              </w:rPr>
              <w:t>T</w:t>
            </w:r>
            <w:r w:rsidRPr="00D223F7">
              <w:rPr>
                <w:sz w:val="20"/>
                <w:szCs w:val="20"/>
              </w:rPr>
              <w:t>here were no formal processes to record clinical supervision or audit the effectiveness of consultations and prescriptions</w:t>
            </w:r>
          </w:p>
          <w:p w14:paraId="20E839AD" w14:textId="77777777" w:rsidR="005F3B5F" w:rsidRDefault="005F3B5F" w:rsidP="00B42D74">
            <w:pPr>
              <w:pStyle w:val="ListParagraph"/>
              <w:numPr>
                <w:ilvl w:val="0"/>
                <w:numId w:val="12"/>
              </w:numPr>
              <w:tabs>
                <w:tab w:val="left" w:pos="2216"/>
              </w:tabs>
              <w:rPr>
                <w:sz w:val="20"/>
                <w:szCs w:val="20"/>
              </w:rPr>
            </w:pPr>
            <w:r w:rsidRPr="005F3B5F">
              <w:rPr>
                <w:sz w:val="20"/>
                <w:szCs w:val="20"/>
              </w:rPr>
              <w:t>60% of patients with polypharmacy (on more than 5 medicines) had not had a medicines review in 18 months.</w:t>
            </w:r>
          </w:p>
          <w:p w14:paraId="41500D86" w14:textId="77777777" w:rsidR="005F3B5F" w:rsidRDefault="005F3B5F" w:rsidP="00B42D74">
            <w:pPr>
              <w:pStyle w:val="ListParagraph"/>
              <w:numPr>
                <w:ilvl w:val="0"/>
                <w:numId w:val="12"/>
              </w:numPr>
              <w:tabs>
                <w:tab w:val="left" w:pos="2216"/>
              </w:tabs>
              <w:rPr>
                <w:sz w:val="20"/>
                <w:szCs w:val="20"/>
              </w:rPr>
            </w:pPr>
            <w:r>
              <w:rPr>
                <w:sz w:val="20"/>
                <w:szCs w:val="20"/>
              </w:rPr>
              <w:t>S</w:t>
            </w:r>
            <w:r w:rsidRPr="005F3B5F">
              <w:rPr>
                <w:sz w:val="20"/>
                <w:szCs w:val="20"/>
              </w:rPr>
              <w:t>ome patients with long-term conditions continued to receive repeat prescriptions despite not attending medicine reviews</w:t>
            </w:r>
          </w:p>
          <w:p w14:paraId="027BC69A" w14:textId="77777777" w:rsidR="00504E70" w:rsidRDefault="00504E70" w:rsidP="00B42D74">
            <w:pPr>
              <w:pStyle w:val="ListParagraph"/>
              <w:numPr>
                <w:ilvl w:val="0"/>
                <w:numId w:val="12"/>
              </w:numPr>
              <w:tabs>
                <w:tab w:val="left" w:pos="2216"/>
              </w:tabs>
              <w:rPr>
                <w:sz w:val="20"/>
                <w:szCs w:val="20"/>
              </w:rPr>
            </w:pPr>
            <w:r w:rsidRPr="00504E70">
              <w:rPr>
                <w:sz w:val="20"/>
                <w:szCs w:val="20"/>
              </w:rPr>
              <w:t>25% of patients prescribed medicines which can increase the risk of bleeding were not prescribed gastric protection</w:t>
            </w:r>
          </w:p>
          <w:p w14:paraId="038667FC" w14:textId="77777777" w:rsidR="00DC3777" w:rsidRDefault="00DD3100" w:rsidP="00B42D74">
            <w:pPr>
              <w:pStyle w:val="ListParagraph"/>
              <w:numPr>
                <w:ilvl w:val="0"/>
                <w:numId w:val="12"/>
              </w:numPr>
              <w:tabs>
                <w:tab w:val="left" w:pos="2216"/>
              </w:tabs>
              <w:rPr>
                <w:sz w:val="20"/>
                <w:szCs w:val="20"/>
              </w:rPr>
            </w:pPr>
            <w:r>
              <w:rPr>
                <w:sz w:val="20"/>
                <w:szCs w:val="20"/>
              </w:rPr>
              <w:t>In</w:t>
            </w:r>
            <w:r w:rsidRPr="00DD3100">
              <w:rPr>
                <w:sz w:val="20"/>
                <w:szCs w:val="20"/>
              </w:rPr>
              <w:t xml:space="preserve"> undertaking clinical searches, we looked for people who had been prescribed </w:t>
            </w:r>
            <w:proofErr w:type="spellStart"/>
            <w:r w:rsidRPr="00DD3100">
              <w:rPr>
                <w:sz w:val="20"/>
                <w:szCs w:val="20"/>
              </w:rPr>
              <w:t>Alendronic</w:t>
            </w:r>
            <w:proofErr w:type="spellEnd"/>
            <w:r w:rsidRPr="00DD3100">
              <w:rPr>
                <w:sz w:val="20"/>
                <w:szCs w:val="20"/>
              </w:rPr>
              <w:t xml:space="preserve"> acid, a medicine that should not be prescribed for more than 5 years without an annual break due to potential side effects. We reviewed 5 of these cases. In all 5 cases, either 5 years had been exceeded, or other requisite monitoring was incomplete.</w:t>
            </w:r>
          </w:p>
          <w:p w14:paraId="6F43664C" w14:textId="77777777" w:rsidR="00F93102" w:rsidRDefault="00F93102" w:rsidP="00B42D74">
            <w:pPr>
              <w:pStyle w:val="ListParagraph"/>
              <w:numPr>
                <w:ilvl w:val="0"/>
                <w:numId w:val="12"/>
              </w:numPr>
              <w:tabs>
                <w:tab w:val="left" w:pos="2216"/>
              </w:tabs>
              <w:rPr>
                <w:sz w:val="20"/>
                <w:szCs w:val="20"/>
              </w:rPr>
            </w:pPr>
            <w:r>
              <w:rPr>
                <w:sz w:val="20"/>
                <w:szCs w:val="20"/>
              </w:rPr>
              <w:t>S</w:t>
            </w:r>
            <w:r w:rsidRPr="00F93102">
              <w:rPr>
                <w:sz w:val="20"/>
                <w:szCs w:val="20"/>
              </w:rPr>
              <w:t>ome staff lacked awareness of documentation regarding patient group directions (PGDs) and patient specific directions (PSDs). This meant that in some cases, the legal authorisation by a prescriber was not in place to allow staff to administer vaccines.</w:t>
            </w:r>
          </w:p>
          <w:p w14:paraId="4273998A" w14:textId="77777777" w:rsidR="00CF5C57" w:rsidRDefault="00CF5C57" w:rsidP="00B42D74">
            <w:pPr>
              <w:pStyle w:val="ListParagraph"/>
              <w:numPr>
                <w:ilvl w:val="0"/>
                <w:numId w:val="12"/>
              </w:numPr>
              <w:tabs>
                <w:tab w:val="left" w:pos="2216"/>
              </w:tabs>
              <w:rPr>
                <w:sz w:val="20"/>
                <w:szCs w:val="20"/>
              </w:rPr>
            </w:pPr>
            <w:r w:rsidRPr="00CF5C57">
              <w:rPr>
                <w:sz w:val="20"/>
                <w:szCs w:val="20"/>
              </w:rPr>
              <w:t>We found some out of date supplies in the drawers of the clinical rooms, including scissors, swabs and non-sterile dressings.</w:t>
            </w:r>
          </w:p>
          <w:p w14:paraId="20069032" w14:textId="41CCCDDD" w:rsidR="00FB68F1" w:rsidRPr="0072271B" w:rsidRDefault="00FB68F1" w:rsidP="00B42D74">
            <w:pPr>
              <w:pStyle w:val="ListParagraph"/>
              <w:numPr>
                <w:ilvl w:val="0"/>
                <w:numId w:val="12"/>
              </w:numPr>
              <w:tabs>
                <w:tab w:val="left" w:pos="2216"/>
              </w:tabs>
              <w:rPr>
                <w:sz w:val="20"/>
                <w:szCs w:val="20"/>
              </w:rPr>
            </w:pPr>
            <w:r>
              <w:rPr>
                <w:sz w:val="20"/>
                <w:szCs w:val="20"/>
              </w:rPr>
              <w:t>S</w:t>
            </w:r>
            <w:r w:rsidRPr="00FB68F1">
              <w:rPr>
                <w:sz w:val="20"/>
                <w:szCs w:val="20"/>
              </w:rPr>
              <w:t>ome Patient Group Directions (PGDs</w:t>
            </w:r>
            <w:r>
              <w:rPr>
                <w:sz w:val="20"/>
                <w:szCs w:val="20"/>
              </w:rPr>
              <w:t xml:space="preserve">) </w:t>
            </w:r>
            <w:r w:rsidRPr="00FB68F1">
              <w:rPr>
                <w:sz w:val="20"/>
                <w:szCs w:val="20"/>
              </w:rPr>
              <w:t>had not been consistently signed by both nursing staff and a relevant GP</w:t>
            </w:r>
          </w:p>
        </w:tc>
      </w:tr>
      <w:tr w:rsidR="007372FE" w14:paraId="6E1064F3" w14:textId="77777777" w:rsidTr="00DC6A0E">
        <w:tc>
          <w:tcPr>
            <w:tcW w:w="4395" w:type="dxa"/>
            <w:shd w:val="clear" w:color="auto" w:fill="BF4E14" w:themeFill="accent2" w:themeFillShade="BF"/>
          </w:tcPr>
          <w:p w14:paraId="300428D8" w14:textId="73D1F7CA" w:rsidR="007372FE" w:rsidRPr="00DA1341" w:rsidRDefault="007372FE" w:rsidP="00BF5B40">
            <w:pPr>
              <w:rPr>
                <w:b/>
                <w:bCs/>
              </w:rPr>
            </w:pPr>
            <w:r>
              <w:rPr>
                <w:b/>
                <w:bCs/>
              </w:rPr>
              <w:t>EFFECTIVE</w:t>
            </w:r>
          </w:p>
        </w:tc>
        <w:tc>
          <w:tcPr>
            <w:tcW w:w="10773" w:type="dxa"/>
          </w:tcPr>
          <w:p w14:paraId="2A9FAB08" w14:textId="77777777" w:rsidR="007372FE" w:rsidRPr="00B04ADD" w:rsidRDefault="007372FE" w:rsidP="00BF5B40">
            <w:pPr>
              <w:rPr>
                <w:sz w:val="20"/>
                <w:szCs w:val="20"/>
              </w:rPr>
            </w:pPr>
          </w:p>
        </w:tc>
      </w:tr>
      <w:tr w:rsidR="007372FE" w14:paraId="1EEDABE0" w14:textId="77777777" w:rsidTr="00DC6A0E">
        <w:tc>
          <w:tcPr>
            <w:tcW w:w="4395" w:type="dxa"/>
            <w:shd w:val="clear" w:color="auto" w:fill="F6C5AC" w:themeFill="accent2" w:themeFillTint="66"/>
          </w:tcPr>
          <w:p w14:paraId="6CDF1C35" w14:textId="4EE278F6" w:rsidR="007372FE" w:rsidRDefault="007372FE" w:rsidP="004121D5">
            <w:pPr>
              <w:rPr>
                <w:b/>
                <w:bCs/>
              </w:rPr>
            </w:pPr>
            <w:r w:rsidRPr="00130DC7">
              <w:t>Assessing needs</w:t>
            </w:r>
          </w:p>
        </w:tc>
        <w:tc>
          <w:tcPr>
            <w:tcW w:w="10773" w:type="dxa"/>
          </w:tcPr>
          <w:p w14:paraId="0DE11718" w14:textId="77777777" w:rsidR="006077F8" w:rsidRDefault="00E8081C" w:rsidP="00586E96">
            <w:pPr>
              <w:pStyle w:val="ListParagraph"/>
              <w:numPr>
                <w:ilvl w:val="0"/>
                <w:numId w:val="14"/>
              </w:numPr>
              <w:tabs>
                <w:tab w:val="left" w:pos="927"/>
              </w:tabs>
              <w:rPr>
                <w:sz w:val="20"/>
                <w:szCs w:val="20"/>
              </w:rPr>
            </w:pPr>
            <w:r w:rsidRPr="00E8081C">
              <w:rPr>
                <w:sz w:val="20"/>
                <w:szCs w:val="20"/>
              </w:rPr>
              <w:t xml:space="preserve">In undertaking clinical searches, we looked for people who had least 2 consecutive </w:t>
            </w:r>
            <w:proofErr w:type="spellStart"/>
            <w:r w:rsidRPr="00E8081C">
              <w:rPr>
                <w:sz w:val="20"/>
                <w:szCs w:val="20"/>
              </w:rPr>
              <w:t>hemoglobon</w:t>
            </w:r>
            <w:proofErr w:type="spellEnd"/>
            <w:r>
              <w:rPr>
                <w:sz w:val="20"/>
                <w:szCs w:val="20"/>
              </w:rPr>
              <w:t xml:space="preserve"> [sic]</w:t>
            </w:r>
            <w:r w:rsidRPr="00E8081C">
              <w:rPr>
                <w:sz w:val="20"/>
                <w:szCs w:val="20"/>
              </w:rPr>
              <w:t xml:space="preserve"> A1C (HbA1c) readings of 48 mmol/mol and above, who should have been diagnosed as diabetic (HbA1C tests show average level of blood glucose over a period of two to three months, and is an indicator of diabetes). We found 22 records where this was the case. In a review of 3 of the 22 cases, </w:t>
            </w:r>
            <w:proofErr w:type="gramStart"/>
            <w:r w:rsidRPr="00E8081C">
              <w:rPr>
                <w:sz w:val="20"/>
                <w:szCs w:val="20"/>
              </w:rPr>
              <w:t>all of</w:t>
            </w:r>
            <w:proofErr w:type="gramEnd"/>
            <w:r w:rsidRPr="00E8081C">
              <w:rPr>
                <w:sz w:val="20"/>
                <w:szCs w:val="20"/>
              </w:rPr>
              <w:t xml:space="preserve"> the service users should have been coded as diabetic. Two were coded as pre-diabetic, and one had no coding at all.</w:t>
            </w:r>
          </w:p>
          <w:p w14:paraId="280901B8" w14:textId="77777777" w:rsidR="00C5236C" w:rsidRDefault="00C5236C" w:rsidP="00586E96">
            <w:pPr>
              <w:pStyle w:val="ListParagraph"/>
              <w:numPr>
                <w:ilvl w:val="0"/>
                <w:numId w:val="14"/>
              </w:numPr>
              <w:tabs>
                <w:tab w:val="left" w:pos="927"/>
              </w:tabs>
              <w:rPr>
                <w:sz w:val="20"/>
                <w:szCs w:val="20"/>
              </w:rPr>
            </w:pPr>
            <w:r w:rsidRPr="00C5236C">
              <w:rPr>
                <w:sz w:val="20"/>
                <w:szCs w:val="20"/>
              </w:rPr>
              <w:t>Staff told us they would use a series of alerts on the patient record to highlight people’s communication needs and any impairments. We did not observe any specific examples of reasonable adjustments being implemented.</w:t>
            </w:r>
          </w:p>
          <w:p w14:paraId="313F917F" w14:textId="1F4EB943" w:rsidR="004130AE" w:rsidRDefault="004130AE" w:rsidP="00586E96">
            <w:pPr>
              <w:pStyle w:val="ListParagraph"/>
              <w:numPr>
                <w:ilvl w:val="0"/>
                <w:numId w:val="14"/>
              </w:numPr>
              <w:tabs>
                <w:tab w:val="left" w:pos="927"/>
              </w:tabs>
              <w:rPr>
                <w:sz w:val="20"/>
                <w:szCs w:val="20"/>
              </w:rPr>
            </w:pPr>
            <w:r w:rsidRPr="004130AE">
              <w:rPr>
                <w:sz w:val="20"/>
                <w:szCs w:val="20"/>
              </w:rPr>
              <w:t>There were protected appointments available on the day for vulnerable patients. However, planning for future clinical and non-clinical staff absences were not always considered which could result in significant gaps throughout the service.</w:t>
            </w:r>
          </w:p>
          <w:p w14:paraId="136FAB4F" w14:textId="77777777" w:rsidR="00D20939" w:rsidRDefault="00D20939" w:rsidP="00586E96">
            <w:pPr>
              <w:pStyle w:val="ListParagraph"/>
              <w:numPr>
                <w:ilvl w:val="0"/>
                <w:numId w:val="14"/>
              </w:numPr>
              <w:tabs>
                <w:tab w:val="left" w:pos="927"/>
              </w:tabs>
              <w:rPr>
                <w:sz w:val="20"/>
                <w:szCs w:val="20"/>
              </w:rPr>
            </w:pPr>
            <w:r w:rsidRPr="00D20939">
              <w:rPr>
                <w:sz w:val="20"/>
                <w:szCs w:val="20"/>
              </w:rPr>
              <w:t>There was an Access Control policy in place, but this was not specific to the practice.</w:t>
            </w:r>
          </w:p>
          <w:p w14:paraId="464A1058" w14:textId="0DBEFDC4" w:rsidR="003A45A5" w:rsidRPr="00586E96" w:rsidRDefault="003A45A5" w:rsidP="00586E96">
            <w:pPr>
              <w:pStyle w:val="ListParagraph"/>
              <w:numPr>
                <w:ilvl w:val="0"/>
                <w:numId w:val="14"/>
              </w:numPr>
              <w:tabs>
                <w:tab w:val="left" w:pos="927"/>
              </w:tabs>
              <w:rPr>
                <w:sz w:val="20"/>
                <w:szCs w:val="20"/>
              </w:rPr>
            </w:pPr>
            <w:r w:rsidRPr="003A45A5">
              <w:rPr>
                <w:sz w:val="20"/>
                <w:szCs w:val="20"/>
              </w:rPr>
              <w:t>There were 317 carers on the practice register however, during interviews with staff and leaders they did not share with us examples of how they supported carers.</w:t>
            </w:r>
            <w:r w:rsidR="00002201">
              <w:rPr>
                <w:sz w:val="20"/>
                <w:szCs w:val="20"/>
              </w:rPr>
              <w:t xml:space="preserve"> </w:t>
            </w:r>
            <w:proofErr w:type="gramStart"/>
            <w:r w:rsidRPr="003A45A5">
              <w:rPr>
                <w:sz w:val="20"/>
                <w:szCs w:val="20"/>
              </w:rPr>
              <w:t>Following</w:t>
            </w:r>
            <w:proofErr w:type="gramEnd"/>
            <w:r w:rsidRPr="003A45A5">
              <w:rPr>
                <w:sz w:val="20"/>
                <w:szCs w:val="20"/>
              </w:rPr>
              <w:t xml:space="preserve"> the inspection leaders told us that carers are offered flexible appointment times and referrals can be made to local support groups. We found that this was not always clearly communicated to patients.</w:t>
            </w:r>
          </w:p>
        </w:tc>
      </w:tr>
      <w:tr w:rsidR="007372FE" w14:paraId="6752679B" w14:textId="77777777" w:rsidTr="00DC6A0E">
        <w:tc>
          <w:tcPr>
            <w:tcW w:w="4395" w:type="dxa"/>
            <w:shd w:val="clear" w:color="auto" w:fill="F6C5AC" w:themeFill="accent2" w:themeFillTint="66"/>
          </w:tcPr>
          <w:p w14:paraId="27989DA5" w14:textId="614760D0" w:rsidR="007372FE" w:rsidRDefault="007372FE" w:rsidP="004121D5">
            <w:pPr>
              <w:rPr>
                <w:b/>
                <w:bCs/>
              </w:rPr>
            </w:pPr>
            <w:r w:rsidRPr="00130DC7">
              <w:t>Delivering evidence-based care and treatment</w:t>
            </w:r>
          </w:p>
        </w:tc>
        <w:tc>
          <w:tcPr>
            <w:tcW w:w="10773" w:type="dxa"/>
          </w:tcPr>
          <w:p w14:paraId="24E47D76" w14:textId="21C128F2" w:rsidR="00D00EFA" w:rsidRPr="00027B67" w:rsidRDefault="004B403D" w:rsidP="00027B67">
            <w:pPr>
              <w:pStyle w:val="ListParagraph"/>
              <w:numPr>
                <w:ilvl w:val="0"/>
                <w:numId w:val="14"/>
              </w:numPr>
              <w:rPr>
                <w:sz w:val="20"/>
                <w:szCs w:val="20"/>
              </w:rPr>
            </w:pPr>
            <w:r w:rsidRPr="004B403D">
              <w:rPr>
                <w:sz w:val="20"/>
                <w:szCs w:val="20"/>
              </w:rPr>
              <w:t xml:space="preserve">Clinical records we saw did not always demonstrate care was provided in line with current guidance and patients were placed at potential risk. Patients did not always receive satisfactory medicines reviews. The practice developed their own action plan to address issues identified from the remote clinical </w:t>
            </w:r>
            <w:proofErr w:type="gramStart"/>
            <w:r w:rsidRPr="004B403D">
              <w:rPr>
                <w:sz w:val="20"/>
                <w:szCs w:val="20"/>
              </w:rPr>
              <w:t>searches</w:t>
            </w:r>
            <w:proofErr w:type="gramEnd"/>
            <w:r w:rsidRPr="004B403D">
              <w:rPr>
                <w:sz w:val="20"/>
                <w:szCs w:val="20"/>
              </w:rPr>
              <w:t xml:space="preserve"> but we are unable to assess the </w:t>
            </w:r>
            <w:proofErr w:type="gramStart"/>
            <w:r w:rsidRPr="004B403D">
              <w:rPr>
                <w:sz w:val="20"/>
                <w:szCs w:val="20"/>
              </w:rPr>
              <w:t>long term</w:t>
            </w:r>
            <w:proofErr w:type="gramEnd"/>
            <w:r w:rsidRPr="004B403D">
              <w:rPr>
                <w:sz w:val="20"/>
                <w:szCs w:val="20"/>
              </w:rPr>
              <w:t xml:space="preserve"> impact of this to ensure it is embedded for future management.</w:t>
            </w:r>
          </w:p>
        </w:tc>
      </w:tr>
      <w:tr w:rsidR="007372FE" w14:paraId="379E83C4" w14:textId="77777777" w:rsidTr="00DC6A0E">
        <w:tc>
          <w:tcPr>
            <w:tcW w:w="4395" w:type="dxa"/>
            <w:shd w:val="clear" w:color="auto" w:fill="F6C5AC" w:themeFill="accent2" w:themeFillTint="66"/>
          </w:tcPr>
          <w:p w14:paraId="64DB676A" w14:textId="0A59F78A" w:rsidR="007372FE" w:rsidRDefault="007372FE" w:rsidP="004121D5">
            <w:pPr>
              <w:rPr>
                <w:b/>
                <w:bCs/>
              </w:rPr>
            </w:pPr>
            <w:r w:rsidRPr="00130DC7">
              <w:t>How staff, teams and services work together</w:t>
            </w:r>
          </w:p>
        </w:tc>
        <w:tc>
          <w:tcPr>
            <w:tcW w:w="10773" w:type="dxa"/>
          </w:tcPr>
          <w:p w14:paraId="744629FF" w14:textId="77777777" w:rsidR="007372FE" w:rsidRDefault="004E1230" w:rsidP="00D2376B">
            <w:pPr>
              <w:pStyle w:val="ListParagraph"/>
              <w:numPr>
                <w:ilvl w:val="0"/>
                <w:numId w:val="14"/>
              </w:numPr>
              <w:rPr>
                <w:sz w:val="20"/>
                <w:szCs w:val="20"/>
              </w:rPr>
            </w:pPr>
            <w:r w:rsidRPr="004E1230">
              <w:rPr>
                <w:sz w:val="20"/>
                <w:szCs w:val="20"/>
              </w:rPr>
              <w:t>Leaders told us that staff's learning needs were identified through annual appraisals, team feedback, and clinical audits. We did not see any evidence during our review of staff files that all staff had received a documented appraisal.</w:t>
            </w:r>
          </w:p>
          <w:p w14:paraId="501B3F53" w14:textId="1CFD4C86" w:rsidR="00A40D30" w:rsidRPr="00D2376B" w:rsidRDefault="00A40D30" w:rsidP="00D2376B">
            <w:pPr>
              <w:pStyle w:val="ListParagraph"/>
              <w:numPr>
                <w:ilvl w:val="0"/>
                <w:numId w:val="14"/>
              </w:numPr>
              <w:rPr>
                <w:sz w:val="20"/>
                <w:szCs w:val="20"/>
              </w:rPr>
            </w:pPr>
            <w:r w:rsidRPr="00A40D30">
              <w:rPr>
                <w:sz w:val="20"/>
                <w:szCs w:val="20"/>
              </w:rPr>
              <w:t xml:space="preserve">The provider had created a system to improve the oversight of </w:t>
            </w:r>
            <w:proofErr w:type="gramStart"/>
            <w:r w:rsidRPr="00A40D30">
              <w:rPr>
                <w:sz w:val="20"/>
                <w:szCs w:val="20"/>
              </w:rPr>
              <w:t>referrals,</w:t>
            </w:r>
            <w:proofErr w:type="gramEnd"/>
            <w:r w:rsidRPr="00A40D30">
              <w:rPr>
                <w:sz w:val="20"/>
                <w:szCs w:val="20"/>
              </w:rPr>
              <w:t xml:space="preserve"> however it lacked detail about working with the specialties. Although there had been an improvement the provider did not have robust processes in place to cover key personnel and therefore sustain these systems during a period of staff absence.</w:t>
            </w:r>
          </w:p>
        </w:tc>
      </w:tr>
      <w:tr w:rsidR="007372FE" w14:paraId="420FFB44" w14:textId="77777777" w:rsidTr="00DC6A0E">
        <w:tc>
          <w:tcPr>
            <w:tcW w:w="4395" w:type="dxa"/>
            <w:shd w:val="clear" w:color="auto" w:fill="F6C5AC" w:themeFill="accent2" w:themeFillTint="66"/>
          </w:tcPr>
          <w:p w14:paraId="459F615D" w14:textId="387A12CB" w:rsidR="007372FE" w:rsidRDefault="007372FE" w:rsidP="004121D5">
            <w:pPr>
              <w:rPr>
                <w:b/>
                <w:bCs/>
              </w:rPr>
            </w:pPr>
            <w:r w:rsidRPr="00130DC7">
              <w:t>Supporting people to live healthier lives</w:t>
            </w:r>
          </w:p>
        </w:tc>
        <w:tc>
          <w:tcPr>
            <w:tcW w:w="10773" w:type="dxa"/>
          </w:tcPr>
          <w:p w14:paraId="759D1D9B" w14:textId="77777777" w:rsidR="007372FE" w:rsidRDefault="00BB40F8" w:rsidP="00B633EB">
            <w:pPr>
              <w:pStyle w:val="ListParagraph"/>
              <w:numPr>
                <w:ilvl w:val="0"/>
                <w:numId w:val="14"/>
              </w:numPr>
              <w:rPr>
                <w:sz w:val="20"/>
                <w:szCs w:val="20"/>
              </w:rPr>
            </w:pPr>
            <w:r w:rsidRPr="00BB40F8">
              <w:rPr>
                <w:sz w:val="20"/>
                <w:szCs w:val="20"/>
              </w:rPr>
              <w:t>There were documents available for staff containing guidance on how to make referrals to external services relating to health promotion. During staff interviews and our onsite visit some of the staff we spoke to were not aware of these and were unable to provide examples of how they supported patients to lead healthier lives.</w:t>
            </w:r>
          </w:p>
          <w:p w14:paraId="0E67061A" w14:textId="0312660D" w:rsidR="001D2E7C" w:rsidRPr="00B633EB" w:rsidRDefault="001D2E7C" w:rsidP="00B633EB">
            <w:pPr>
              <w:pStyle w:val="ListParagraph"/>
              <w:numPr>
                <w:ilvl w:val="0"/>
                <w:numId w:val="14"/>
              </w:numPr>
              <w:rPr>
                <w:sz w:val="20"/>
                <w:szCs w:val="20"/>
              </w:rPr>
            </w:pPr>
            <w:r w:rsidRPr="001D2E7C">
              <w:rPr>
                <w:sz w:val="20"/>
                <w:szCs w:val="20"/>
              </w:rPr>
              <w:t>We were told by leaders that out of 2127 people eligible for an NHS health check only 229 people had been offered a review. A total of 104 people had received a completed NHS health check in the last 12 months. Leaders told us that this could be inaccurate due to codes not being added appropriately to clinical records.</w:t>
            </w:r>
          </w:p>
        </w:tc>
      </w:tr>
      <w:tr w:rsidR="007372FE" w14:paraId="49F0C5B0" w14:textId="77777777" w:rsidTr="00DC6A0E">
        <w:tc>
          <w:tcPr>
            <w:tcW w:w="4395" w:type="dxa"/>
            <w:shd w:val="clear" w:color="auto" w:fill="F6C5AC" w:themeFill="accent2" w:themeFillTint="66"/>
          </w:tcPr>
          <w:p w14:paraId="5CD36CCA" w14:textId="3E2FCF49" w:rsidR="007372FE" w:rsidRDefault="007372FE" w:rsidP="004121D5">
            <w:pPr>
              <w:rPr>
                <w:b/>
                <w:bCs/>
              </w:rPr>
            </w:pPr>
            <w:r w:rsidRPr="00130DC7">
              <w:t>Monitoring and improving outcomes</w:t>
            </w:r>
          </w:p>
        </w:tc>
        <w:tc>
          <w:tcPr>
            <w:tcW w:w="10773" w:type="dxa"/>
          </w:tcPr>
          <w:p w14:paraId="0FF01D4A" w14:textId="77777777" w:rsidR="00A560D8" w:rsidRDefault="000F5D48" w:rsidP="000B2227">
            <w:pPr>
              <w:pStyle w:val="ListParagraph"/>
              <w:numPr>
                <w:ilvl w:val="0"/>
                <w:numId w:val="14"/>
              </w:numPr>
              <w:rPr>
                <w:sz w:val="20"/>
                <w:szCs w:val="20"/>
              </w:rPr>
            </w:pPr>
            <w:r w:rsidRPr="000F5D48">
              <w:rPr>
                <w:sz w:val="20"/>
                <w:szCs w:val="20"/>
              </w:rPr>
              <w:t>Remote clinical searches of the practice’s system showed outcomes were not always appropriate, with a lack of reviews, monitoring and follow ups taking place. Data available to us showed that some childhood immunisations uptake was below the national expected level.</w:t>
            </w:r>
          </w:p>
          <w:p w14:paraId="36015E12" w14:textId="25B42679" w:rsidR="0073136D" w:rsidRPr="000B2227" w:rsidRDefault="0073136D" w:rsidP="000B2227">
            <w:pPr>
              <w:pStyle w:val="ListParagraph"/>
              <w:numPr>
                <w:ilvl w:val="0"/>
                <w:numId w:val="14"/>
              </w:numPr>
              <w:rPr>
                <w:sz w:val="20"/>
                <w:szCs w:val="20"/>
              </w:rPr>
            </w:pPr>
            <w:r w:rsidRPr="0073136D">
              <w:rPr>
                <w:sz w:val="20"/>
                <w:szCs w:val="20"/>
              </w:rPr>
              <w:t xml:space="preserve">The service </w:t>
            </w:r>
            <w:proofErr w:type="gramStart"/>
            <w:r w:rsidRPr="0073136D">
              <w:rPr>
                <w:sz w:val="20"/>
                <w:szCs w:val="20"/>
              </w:rPr>
              <w:t>was not able to</w:t>
            </w:r>
            <w:proofErr w:type="gramEnd"/>
            <w:r w:rsidRPr="0073136D">
              <w:rPr>
                <w:sz w:val="20"/>
                <w:szCs w:val="20"/>
              </w:rPr>
              <w:t xml:space="preserve"> provide information on how audit was used to monitor and improve outcomes. The service did not undertake cyclical audits where performance was formally assessed, and improvement criteria set.</w:t>
            </w:r>
          </w:p>
        </w:tc>
      </w:tr>
      <w:tr w:rsidR="007372FE" w14:paraId="793F5B6F" w14:textId="77777777" w:rsidTr="00DC6A0E">
        <w:tc>
          <w:tcPr>
            <w:tcW w:w="4395" w:type="dxa"/>
            <w:shd w:val="clear" w:color="auto" w:fill="F6C5AC" w:themeFill="accent2" w:themeFillTint="66"/>
          </w:tcPr>
          <w:p w14:paraId="0859BECC" w14:textId="087B79FF" w:rsidR="007372FE" w:rsidRPr="00130DC7" w:rsidRDefault="007372FE" w:rsidP="004121D5">
            <w:r w:rsidRPr="00E34A2D">
              <w:t>Consent to care and treatment</w:t>
            </w:r>
          </w:p>
        </w:tc>
        <w:tc>
          <w:tcPr>
            <w:tcW w:w="10773" w:type="dxa"/>
          </w:tcPr>
          <w:p w14:paraId="75F95EEA" w14:textId="0569282C" w:rsidR="007372FE" w:rsidRPr="008D0C81" w:rsidRDefault="003832A6" w:rsidP="008D0C81">
            <w:pPr>
              <w:pStyle w:val="ListParagraph"/>
              <w:numPr>
                <w:ilvl w:val="0"/>
                <w:numId w:val="24"/>
              </w:numPr>
              <w:rPr>
                <w:sz w:val="20"/>
                <w:szCs w:val="20"/>
              </w:rPr>
            </w:pPr>
            <w:r w:rsidRPr="003832A6">
              <w:rPr>
                <w:sz w:val="20"/>
                <w:szCs w:val="20"/>
              </w:rPr>
              <w:t>During the assessment, we conducted a review of 10 medical records for patients with a coded Do not attempt cardiopulmonary resuscitation (DNACPR) decision. We found that not all the records showed that there had been any discussions regarding mental capacity and/or consent</w:t>
            </w:r>
            <w:r>
              <w:rPr>
                <w:sz w:val="20"/>
                <w:szCs w:val="20"/>
              </w:rPr>
              <w:t>.</w:t>
            </w:r>
          </w:p>
        </w:tc>
      </w:tr>
      <w:tr w:rsidR="008840C3" w14:paraId="79941DD1" w14:textId="77777777" w:rsidTr="00DC6A0E">
        <w:tc>
          <w:tcPr>
            <w:tcW w:w="4395" w:type="dxa"/>
            <w:shd w:val="clear" w:color="auto" w:fill="F6C5AC" w:themeFill="accent2" w:themeFillTint="66"/>
          </w:tcPr>
          <w:p w14:paraId="07855581" w14:textId="5359500F" w:rsidR="008840C3" w:rsidRPr="00E34A2D" w:rsidRDefault="008840C3" w:rsidP="004121D5">
            <w:r>
              <w:t>Independence, choice and control</w:t>
            </w:r>
          </w:p>
        </w:tc>
        <w:tc>
          <w:tcPr>
            <w:tcW w:w="10773" w:type="dxa"/>
          </w:tcPr>
          <w:p w14:paraId="1E79B33A" w14:textId="77777777" w:rsidR="008840C3" w:rsidRDefault="00033F9B" w:rsidP="008D0C81">
            <w:pPr>
              <w:pStyle w:val="ListParagraph"/>
              <w:numPr>
                <w:ilvl w:val="0"/>
                <w:numId w:val="24"/>
              </w:numPr>
              <w:rPr>
                <w:sz w:val="20"/>
                <w:szCs w:val="20"/>
              </w:rPr>
            </w:pPr>
            <w:r w:rsidRPr="00033F9B">
              <w:rPr>
                <w:sz w:val="20"/>
                <w:szCs w:val="20"/>
              </w:rPr>
              <w:t>Searches of the practice’s clinical records system showed that patient had not always had comprehensive reviews or involvement in long term conditions management.</w:t>
            </w:r>
          </w:p>
          <w:p w14:paraId="212DEAC4" w14:textId="55D0F39D" w:rsidR="00033F9B" w:rsidRPr="008D0C81" w:rsidRDefault="00033F9B" w:rsidP="008D0C81">
            <w:pPr>
              <w:pStyle w:val="ListParagraph"/>
              <w:numPr>
                <w:ilvl w:val="0"/>
                <w:numId w:val="24"/>
              </w:numPr>
              <w:rPr>
                <w:sz w:val="20"/>
                <w:szCs w:val="20"/>
              </w:rPr>
            </w:pPr>
            <w:r w:rsidRPr="00033F9B">
              <w:rPr>
                <w:sz w:val="20"/>
                <w:szCs w:val="20"/>
              </w:rPr>
              <w:t xml:space="preserve">The practice had a carer’s </w:t>
            </w:r>
            <w:proofErr w:type="gramStart"/>
            <w:r w:rsidRPr="00033F9B">
              <w:rPr>
                <w:sz w:val="20"/>
                <w:szCs w:val="20"/>
              </w:rPr>
              <w:t>champion</w:t>
            </w:r>
            <w:proofErr w:type="gramEnd"/>
            <w:r w:rsidRPr="00033F9B">
              <w:rPr>
                <w:sz w:val="20"/>
                <w:szCs w:val="20"/>
              </w:rPr>
              <w:t xml:space="preserve"> but this was a new role and therefore difficult to assess impact at this stage.</w:t>
            </w:r>
          </w:p>
        </w:tc>
      </w:tr>
      <w:tr w:rsidR="007372FE" w14:paraId="090C8D1F" w14:textId="77777777" w:rsidTr="00DC6A0E">
        <w:tc>
          <w:tcPr>
            <w:tcW w:w="4395" w:type="dxa"/>
            <w:shd w:val="clear" w:color="auto" w:fill="47D459" w:themeFill="accent3" w:themeFillTint="99"/>
          </w:tcPr>
          <w:p w14:paraId="5DE514EF" w14:textId="6A2E9CE3" w:rsidR="007372FE" w:rsidRPr="00AC198E" w:rsidRDefault="007372FE" w:rsidP="004121D5">
            <w:pPr>
              <w:rPr>
                <w:b/>
                <w:bCs/>
              </w:rPr>
            </w:pPr>
            <w:r w:rsidRPr="00AC198E">
              <w:rPr>
                <w:b/>
                <w:bCs/>
              </w:rPr>
              <w:t>CARING</w:t>
            </w:r>
          </w:p>
        </w:tc>
        <w:tc>
          <w:tcPr>
            <w:tcW w:w="10773" w:type="dxa"/>
          </w:tcPr>
          <w:p w14:paraId="3860EE24" w14:textId="77777777" w:rsidR="007372FE" w:rsidRPr="00B04ADD" w:rsidRDefault="007372FE" w:rsidP="004121D5">
            <w:pPr>
              <w:rPr>
                <w:sz w:val="20"/>
                <w:szCs w:val="20"/>
              </w:rPr>
            </w:pPr>
          </w:p>
        </w:tc>
      </w:tr>
      <w:tr w:rsidR="007372FE" w14:paraId="5C8F2F09" w14:textId="77777777" w:rsidTr="00DC6A0E">
        <w:tc>
          <w:tcPr>
            <w:tcW w:w="4395" w:type="dxa"/>
            <w:shd w:val="clear" w:color="auto" w:fill="C1F0C7" w:themeFill="accent3" w:themeFillTint="33"/>
          </w:tcPr>
          <w:p w14:paraId="0E8DD62D" w14:textId="52F3B7E5" w:rsidR="007372FE" w:rsidRPr="00E34A2D" w:rsidRDefault="007372FE" w:rsidP="00AC198E">
            <w:r w:rsidRPr="00BD15EE">
              <w:t>Kindness, compassion and dignity</w:t>
            </w:r>
          </w:p>
        </w:tc>
        <w:tc>
          <w:tcPr>
            <w:tcW w:w="10773" w:type="dxa"/>
          </w:tcPr>
          <w:p w14:paraId="2892AAE5" w14:textId="77777777" w:rsidR="007372FE" w:rsidRDefault="00755C41" w:rsidP="00CD6620">
            <w:pPr>
              <w:pStyle w:val="ListParagraph"/>
              <w:numPr>
                <w:ilvl w:val="0"/>
                <w:numId w:val="15"/>
              </w:numPr>
              <w:rPr>
                <w:sz w:val="20"/>
                <w:szCs w:val="20"/>
              </w:rPr>
            </w:pPr>
            <w:r w:rsidRPr="00755C41">
              <w:rPr>
                <w:sz w:val="20"/>
                <w:szCs w:val="20"/>
              </w:rPr>
              <w:t>74% of people felt that the healthcare professional they saw or spoke to was good at treating them with care and concern at their last appointment; this was below the national average of 85%.</w:t>
            </w:r>
          </w:p>
          <w:p w14:paraId="725E2BA1" w14:textId="4C15D9DF" w:rsidR="008840C3" w:rsidRPr="00CD6620" w:rsidRDefault="008840C3" w:rsidP="00CD6620">
            <w:pPr>
              <w:pStyle w:val="ListParagraph"/>
              <w:numPr>
                <w:ilvl w:val="0"/>
                <w:numId w:val="15"/>
              </w:numPr>
              <w:rPr>
                <w:sz w:val="20"/>
                <w:szCs w:val="20"/>
              </w:rPr>
            </w:pPr>
            <w:r w:rsidRPr="008840C3">
              <w:rPr>
                <w:sz w:val="20"/>
                <w:szCs w:val="20"/>
              </w:rPr>
              <w:t>Feedback we received directly from patients was mixed, with negative themes relating to staff conduct and patients not feeling they were taken seriously.</w:t>
            </w:r>
          </w:p>
        </w:tc>
      </w:tr>
      <w:tr w:rsidR="007372FE" w14:paraId="32DCCF6B" w14:textId="77777777" w:rsidTr="00DC6A0E">
        <w:tc>
          <w:tcPr>
            <w:tcW w:w="4395" w:type="dxa"/>
            <w:shd w:val="clear" w:color="auto" w:fill="C1F0C7" w:themeFill="accent3" w:themeFillTint="33"/>
          </w:tcPr>
          <w:p w14:paraId="0E91D674" w14:textId="0A37E2A2" w:rsidR="007372FE" w:rsidRPr="00E34A2D" w:rsidRDefault="007372FE" w:rsidP="00AC198E">
            <w:r w:rsidRPr="00BD15EE">
              <w:t>Responding to people’s immediate needs</w:t>
            </w:r>
          </w:p>
        </w:tc>
        <w:tc>
          <w:tcPr>
            <w:tcW w:w="10773" w:type="dxa"/>
          </w:tcPr>
          <w:p w14:paraId="0BDCDEEF" w14:textId="1090F8AD" w:rsidR="00517058" w:rsidRPr="001935D9" w:rsidRDefault="00EF0BEA" w:rsidP="001935D9">
            <w:pPr>
              <w:pStyle w:val="ListParagraph"/>
              <w:numPr>
                <w:ilvl w:val="0"/>
                <w:numId w:val="15"/>
              </w:numPr>
              <w:rPr>
                <w:sz w:val="20"/>
                <w:szCs w:val="20"/>
              </w:rPr>
            </w:pPr>
            <w:r w:rsidRPr="00EF0BEA">
              <w:rPr>
                <w:sz w:val="20"/>
                <w:szCs w:val="20"/>
              </w:rPr>
              <w:t>Although there was a recent change in patient triage, we could not be assured that this system was working effectively as direct patient feedback told us that appointment accessibility remained an issue.</w:t>
            </w:r>
          </w:p>
        </w:tc>
      </w:tr>
      <w:tr w:rsidR="007372FE" w14:paraId="3987149D" w14:textId="77777777" w:rsidTr="00DC6A0E">
        <w:tc>
          <w:tcPr>
            <w:tcW w:w="4395" w:type="dxa"/>
            <w:shd w:val="clear" w:color="auto" w:fill="C1F0C7" w:themeFill="accent3" w:themeFillTint="33"/>
          </w:tcPr>
          <w:p w14:paraId="32A76A00" w14:textId="1CFE1741" w:rsidR="007372FE" w:rsidRPr="00E34A2D" w:rsidRDefault="007372FE" w:rsidP="00AC198E">
            <w:r w:rsidRPr="00BD15EE">
              <w:t>Workforce wellbeing and enablement</w:t>
            </w:r>
          </w:p>
        </w:tc>
        <w:tc>
          <w:tcPr>
            <w:tcW w:w="10773" w:type="dxa"/>
          </w:tcPr>
          <w:p w14:paraId="5B9A4AC1" w14:textId="42042115" w:rsidR="007372FE" w:rsidRPr="009E4092" w:rsidRDefault="00EE30D5" w:rsidP="009E4092">
            <w:pPr>
              <w:pStyle w:val="ListParagraph"/>
              <w:numPr>
                <w:ilvl w:val="0"/>
                <w:numId w:val="15"/>
              </w:numPr>
              <w:rPr>
                <w:sz w:val="20"/>
                <w:szCs w:val="20"/>
              </w:rPr>
            </w:pPr>
            <w:r w:rsidRPr="00EE30D5">
              <w:rPr>
                <w:sz w:val="20"/>
                <w:szCs w:val="20"/>
              </w:rPr>
              <w:t xml:space="preserve">The practice acknowledged that not all staff had a break throughout the working day which impacted on morale. This was not adhering to national legislation. The practice told us they planned to implement a </w:t>
            </w:r>
            <w:proofErr w:type="gramStart"/>
            <w:r w:rsidRPr="00EE30D5">
              <w:rPr>
                <w:sz w:val="20"/>
                <w:szCs w:val="20"/>
              </w:rPr>
              <w:t>break</w:t>
            </w:r>
            <w:proofErr w:type="gramEnd"/>
            <w:r w:rsidRPr="00EE30D5">
              <w:rPr>
                <w:sz w:val="20"/>
                <w:szCs w:val="20"/>
              </w:rPr>
              <w:t xml:space="preserve"> system going forward but we were unable to assess the sustainability of this.</w:t>
            </w:r>
          </w:p>
        </w:tc>
      </w:tr>
      <w:tr w:rsidR="00083D22" w14:paraId="2C3B5846" w14:textId="77777777" w:rsidTr="00DC6A0E">
        <w:tc>
          <w:tcPr>
            <w:tcW w:w="4395" w:type="dxa"/>
            <w:shd w:val="clear" w:color="auto" w:fill="D86DCB" w:themeFill="accent5" w:themeFillTint="99"/>
          </w:tcPr>
          <w:p w14:paraId="1C750632" w14:textId="0D8114FD" w:rsidR="00083D22" w:rsidRPr="00083D22" w:rsidRDefault="00083D22" w:rsidP="00AC198E">
            <w:pPr>
              <w:rPr>
                <w:b/>
                <w:bCs/>
              </w:rPr>
            </w:pPr>
            <w:r w:rsidRPr="00083D22">
              <w:rPr>
                <w:b/>
                <w:bCs/>
              </w:rPr>
              <w:t>RESPONSIVE</w:t>
            </w:r>
          </w:p>
        </w:tc>
        <w:tc>
          <w:tcPr>
            <w:tcW w:w="10773" w:type="dxa"/>
          </w:tcPr>
          <w:p w14:paraId="507B7B70" w14:textId="77777777" w:rsidR="00083D22" w:rsidRPr="00B04ADD" w:rsidRDefault="00083D22" w:rsidP="00AC198E">
            <w:pPr>
              <w:rPr>
                <w:sz w:val="20"/>
                <w:szCs w:val="20"/>
              </w:rPr>
            </w:pPr>
          </w:p>
        </w:tc>
      </w:tr>
      <w:tr w:rsidR="0039766A" w14:paraId="73218274" w14:textId="77777777" w:rsidTr="00DC6A0E">
        <w:tc>
          <w:tcPr>
            <w:tcW w:w="4395" w:type="dxa"/>
            <w:shd w:val="clear" w:color="auto" w:fill="F2CEED" w:themeFill="accent5" w:themeFillTint="33"/>
          </w:tcPr>
          <w:p w14:paraId="3A207D90" w14:textId="489C8B68" w:rsidR="0039766A" w:rsidRPr="00BD15EE" w:rsidRDefault="0039766A" w:rsidP="0039766A">
            <w:r w:rsidRPr="00CD63BB">
              <w:t>Person-centred Care</w:t>
            </w:r>
          </w:p>
        </w:tc>
        <w:tc>
          <w:tcPr>
            <w:tcW w:w="10773" w:type="dxa"/>
          </w:tcPr>
          <w:p w14:paraId="7AF9D972" w14:textId="4D8837AE" w:rsidR="003E1B6D" w:rsidRDefault="003E1B6D" w:rsidP="006D2F24">
            <w:pPr>
              <w:pStyle w:val="ListParagraph"/>
              <w:numPr>
                <w:ilvl w:val="0"/>
                <w:numId w:val="15"/>
              </w:numPr>
              <w:rPr>
                <w:sz w:val="20"/>
                <w:szCs w:val="20"/>
              </w:rPr>
            </w:pPr>
            <w:r w:rsidRPr="003E1B6D">
              <w:rPr>
                <w:sz w:val="20"/>
                <w:szCs w:val="20"/>
              </w:rPr>
              <w:t>The practice told us that it was not aware of the national GP patient survey and consequently had not analysed the most recent results</w:t>
            </w:r>
          </w:p>
          <w:p w14:paraId="37DFA343" w14:textId="61F47A04" w:rsidR="0039766A" w:rsidRDefault="00DD7DED" w:rsidP="006D2F24">
            <w:pPr>
              <w:pStyle w:val="ListParagraph"/>
              <w:numPr>
                <w:ilvl w:val="0"/>
                <w:numId w:val="15"/>
              </w:numPr>
              <w:rPr>
                <w:sz w:val="20"/>
                <w:szCs w:val="20"/>
              </w:rPr>
            </w:pPr>
            <w:r w:rsidRPr="00DD7DED">
              <w:rPr>
                <w:sz w:val="20"/>
                <w:szCs w:val="20"/>
              </w:rPr>
              <w:t>The GP National Survey data showed below national average results in contacting the practice via phone and their website.</w:t>
            </w:r>
          </w:p>
          <w:p w14:paraId="0B7DC5FF" w14:textId="2408CEB2" w:rsidR="00BA2234" w:rsidRPr="006D2F24" w:rsidRDefault="00BA2234" w:rsidP="006D2F24">
            <w:pPr>
              <w:pStyle w:val="ListParagraph"/>
              <w:numPr>
                <w:ilvl w:val="0"/>
                <w:numId w:val="15"/>
              </w:numPr>
              <w:rPr>
                <w:sz w:val="20"/>
                <w:szCs w:val="20"/>
              </w:rPr>
            </w:pPr>
            <w:r>
              <w:rPr>
                <w:sz w:val="20"/>
                <w:szCs w:val="20"/>
              </w:rPr>
              <w:t>S</w:t>
            </w:r>
            <w:r w:rsidRPr="00BA2234">
              <w:rPr>
                <w:sz w:val="20"/>
                <w:szCs w:val="20"/>
              </w:rPr>
              <w:t>ome staff were unable to tell us how they regularly involved patients in making shared decisions about their care and treatment plans.</w:t>
            </w:r>
          </w:p>
        </w:tc>
      </w:tr>
      <w:tr w:rsidR="00144C06" w14:paraId="7463F029" w14:textId="77777777" w:rsidTr="00DC6A0E">
        <w:tc>
          <w:tcPr>
            <w:tcW w:w="4395" w:type="dxa"/>
            <w:shd w:val="clear" w:color="auto" w:fill="F2CEED" w:themeFill="accent5" w:themeFillTint="33"/>
          </w:tcPr>
          <w:p w14:paraId="246E9884" w14:textId="717450DD" w:rsidR="00144C06" w:rsidRPr="00CD63BB" w:rsidRDefault="00144C06" w:rsidP="0039766A">
            <w:r w:rsidRPr="00144C06">
              <w:t>Care provision, Integration and continuity</w:t>
            </w:r>
          </w:p>
        </w:tc>
        <w:tc>
          <w:tcPr>
            <w:tcW w:w="10773" w:type="dxa"/>
          </w:tcPr>
          <w:p w14:paraId="41DDC88F" w14:textId="4AE01E4C" w:rsidR="00144C06" w:rsidRPr="00DD7DED" w:rsidRDefault="007C7F5A" w:rsidP="006D2F24">
            <w:pPr>
              <w:pStyle w:val="ListParagraph"/>
              <w:numPr>
                <w:ilvl w:val="0"/>
                <w:numId w:val="15"/>
              </w:numPr>
              <w:rPr>
                <w:sz w:val="20"/>
                <w:szCs w:val="20"/>
              </w:rPr>
            </w:pPr>
            <w:r w:rsidRPr="007C7F5A">
              <w:rPr>
                <w:sz w:val="20"/>
                <w:szCs w:val="20"/>
              </w:rPr>
              <w:t>Some staff we spoke to onsite did not have an awareness of people who required additional assistance or who needed longer appointments to be made.</w:t>
            </w:r>
          </w:p>
        </w:tc>
      </w:tr>
      <w:tr w:rsidR="0039766A" w14:paraId="331B6356" w14:textId="77777777" w:rsidTr="00DC6A0E">
        <w:tc>
          <w:tcPr>
            <w:tcW w:w="4395" w:type="dxa"/>
            <w:shd w:val="clear" w:color="auto" w:fill="F2CEED" w:themeFill="accent5" w:themeFillTint="33"/>
          </w:tcPr>
          <w:p w14:paraId="399EA1DA" w14:textId="78DF8B65" w:rsidR="0039766A" w:rsidRPr="00BD15EE" w:rsidRDefault="0039766A" w:rsidP="0039766A">
            <w:r w:rsidRPr="00CD63BB">
              <w:t>Providing Information</w:t>
            </w:r>
          </w:p>
        </w:tc>
        <w:tc>
          <w:tcPr>
            <w:tcW w:w="10773" w:type="dxa"/>
          </w:tcPr>
          <w:p w14:paraId="57F8CBB3" w14:textId="77777777" w:rsidR="00905229" w:rsidRDefault="00CE1D75" w:rsidP="00EB2544">
            <w:pPr>
              <w:pStyle w:val="ListParagraph"/>
              <w:numPr>
                <w:ilvl w:val="0"/>
                <w:numId w:val="15"/>
              </w:numPr>
              <w:rPr>
                <w:sz w:val="20"/>
                <w:szCs w:val="20"/>
              </w:rPr>
            </w:pPr>
            <w:r w:rsidRPr="00CE1D75">
              <w:rPr>
                <w:sz w:val="20"/>
                <w:szCs w:val="20"/>
              </w:rPr>
              <w:t>There had been significant events involving a data breach. The provider had conducted a thorough investigation report, which included a root cause analysis for one of the events. However, another did not have the same level of investigation.</w:t>
            </w:r>
          </w:p>
          <w:p w14:paraId="15B3F06E" w14:textId="6BDAE3A5" w:rsidR="007D7EB1" w:rsidRPr="0072271B" w:rsidRDefault="007D7EB1" w:rsidP="00EB2544">
            <w:pPr>
              <w:pStyle w:val="ListParagraph"/>
              <w:numPr>
                <w:ilvl w:val="0"/>
                <w:numId w:val="15"/>
              </w:numPr>
              <w:rPr>
                <w:sz w:val="20"/>
                <w:szCs w:val="20"/>
              </w:rPr>
            </w:pPr>
            <w:r w:rsidRPr="007D7EB1">
              <w:rPr>
                <w:sz w:val="20"/>
                <w:szCs w:val="20"/>
              </w:rPr>
              <w:t>We found 3 occasions when there had been a delay in urgent referrals to secondary care. These delays had been reported as a significant event, however, the learning had not mitigated the risk.</w:t>
            </w:r>
          </w:p>
        </w:tc>
      </w:tr>
      <w:tr w:rsidR="0039766A" w14:paraId="4AAF26D4" w14:textId="77777777" w:rsidTr="00DC6A0E">
        <w:tc>
          <w:tcPr>
            <w:tcW w:w="4395" w:type="dxa"/>
            <w:shd w:val="clear" w:color="auto" w:fill="F2CEED" w:themeFill="accent5" w:themeFillTint="33"/>
          </w:tcPr>
          <w:p w14:paraId="4D15E355" w14:textId="32F39528" w:rsidR="0039766A" w:rsidRPr="00BD15EE" w:rsidRDefault="0039766A" w:rsidP="0039766A">
            <w:r w:rsidRPr="00CD63BB">
              <w:t>Listening to and involving people</w:t>
            </w:r>
          </w:p>
        </w:tc>
        <w:tc>
          <w:tcPr>
            <w:tcW w:w="10773" w:type="dxa"/>
          </w:tcPr>
          <w:p w14:paraId="02713E6D" w14:textId="1F39CCDC" w:rsidR="00194FF3" w:rsidRDefault="006C08A9" w:rsidP="008B029C">
            <w:pPr>
              <w:pStyle w:val="ListParagraph"/>
              <w:numPr>
                <w:ilvl w:val="0"/>
                <w:numId w:val="16"/>
              </w:numPr>
              <w:rPr>
                <w:sz w:val="20"/>
                <w:szCs w:val="20"/>
              </w:rPr>
            </w:pPr>
            <w:r w:rsidRPr="006C08A9">
              <w:rPr>
                <w:sz w:val="20"/>
                <w:szCs w:val="20"/>
              </w:rPr>
              <w:t>The practice had an inconsistent method with</w:t>
            </w:r>
            <w:r>
              <w:rPr>
                <w:sz w:val="20"/>
                <w:szCs w:val="20"/>
              </w:rPr>
              <w:t xml:space="preserve"> [sic]</w:t>
            </w:r>
            <w:r w:rsidRPr="006C08A9">
              <w:rPr>
                <w:sz w:val="20"/>
                <w:szCs w:val="20"/>
              </w:rPr>
              <w:t xml:space="preserve"> managing complaints and learning was not always shared with the whole team.</w:t>
            </w:r>
          </w:p>
          <w:p w14:paraId="2D4931A3" w14:textId="77777777" w:rsidR="006C08A9" w:rsidRDefault="006C08A9" w:rsidP="008B029C">
            <w:pPr>
              <w:pStyle w:val="ListParagraph"/>
              <w:numPr>
                <w:ilvl w:val="0"/>
                <w:numId w:val="16"/>
              </w:numPr>
              <w:rPr>
                <w:sz w:val="20"/>
                <w:szCs w:val="20"/>
              </w:rPr>
            </w:pPr>
            <w:r w:rsidRPr="006C08A9">
              <w:rPr>
                <w:sz w:val="20"/>
                <w:szCs w:val="20"/>
              </w:rPr>
              <w:t>Significant events were not managed effectively, often lacking detail relevant to investigating the incident and documented action.</w:t>
            </w:r>
          </w:p>
          <w:p w14:paraId="5BBF0852" w14:textId="6B21B27D" w:rsidR="00AD4B9A" w:rsidRPr="0072271B" w:rsidRDefault="00AD4B9A" w:rsidP="008B029C">
            <w:pPr>
              <w:pStyle w:val="ListParagraph"/>
              <w:numPr>
                <w:ilvl w:val="0"/>
                <w:numId w:val="16"/>
              </w:numPr>
              <w:rPr>
                <w:sz w:val="20"/>
                <w:szCs w:val="20"/>
              </w:rPr>
            </w:pPr>
            <w:r w:rsidRPr="00AD4B9A">
              <w:rPr>
                <w:sz w:val="20"/>
                <w:szCs w:val="20"/>
              </w:rPr>
              <w:t>Although the practice had implemented a new system for complaints, patients did not always receive a written outcome, which was not in line with the practice policy.</w:t>
            </w:r>
          </w:p>
        </w:tc>
      </w:tr>
      <w:tr w:rsidR="0039766A" w14:paraId="7F62D417" w14:textId="77777777" w:rsidTr="00DC6A0E">
        <w:tc>
          <w:tcPr>
            <w:tcW w:w="4395" w:type="dxa"/>
            <w:shd w:val="clear" w:color="auto" w:fill="F2CEED" w:themeFill="accent5" w:themeFillTint="33"/>
          </w:tcPr>
          <w:p w14:paraId="5B96F759" w14:textId="45ADF5EC" w:rsidR="0039766A" w:rsidRPr="00BD15EE" w:rsidRDefault="0039766A" w:rsidP="0039766A">
            <w:r w:rsidRPr="00CD63BB">
              <w:t>Equity in access</w:t>
            </w:r>
          </w:p>
        </w:tc>
        <w:tc>
          <w:tcPr>
            <w:tcW w:w="10773" w:type="dxa"/>
          </w:tcPr>
          <w:p w14:paraId="600877A7" w14:textId="4D6C9714" w:rsidR="00CF2F3C" w:rsidRDefault="00CF2F3C" w:rsidP="00A70536">
            <w:pPr>
              <w:pStyle w:val="ListParagraph"/>
              <w:numPr>
                <w:ilvl w:val="0"/>
                <w:numId w:val="17"/>
              </w:numPr>
              <w:rPr>
                <w:sz w:val="20"/>
                <w:szCs w:val="20"/>
              </w:rPr>
            </w:pPr>
            <w:r w:rsidRPr="00CF2F3C">
              <w:rPr>
                <w:sz w:val="20"/>
                <w:szCs w:val="20"/>
              </w:rPr>
              <w:t>We noted during our site visit that the push button disabled access was not working at the front entrance to the practice. The practice told us that this had not been working for approximately 4 months and attempts to repair this had been unsuccessful. We further noted that the doorbell was too high for people who used wheelchairs to reach. The practice told us that the doorbell was moved to a higher position as this was being mis-used by some of the local population. They told us that patients were aware that they needed to knock on the reception window for them to be let into the practice.</w:t>
            </w:r>
          </w:p>
          <w:p w14:paraId="19A10431" w14:textId="3C533AED" w:rsidR="00EF349A" w:rsidRDefault="001237B8" w:rsidP="00A70536">
            <w:pPr>
              <w:pStyle w:val="ListParagraph"/>
              <w:numPr>
                <w:ilvl w:val="0"/>
                <w:numId w:val="17"/>
              </w:numPr>
              <w:rPr>
                <w:sz w:val="20"/>
                <w:szCs w:val="20"/>
              </w:rPr>
            </w:pPr>
            <w:r w:rsidRPr="001237B8">
              <w:rPr>
                <w:sz w:val="20"/>
                <w:szCs w:val="20"/>
              </w:rPr>
              <w:t>A change to an online triage system had led to a period of transition for the practice and its patients. The National GP Survey data for the last 2 years shows people struggled to access the practice suitability and was below the national average. A recent Friends and Family test evidenced showed some improvement in access, however, direct patient feedback to the CQC showed that people still found it difficult to access the service.</w:t>
            </w:r>
          </w:p>
          <w:p w14:paraId="7DEEDF53" w14:textId="77777777" w:rsidR="009A5606" w:rsidRDefault="009A5606" w:rsidP="00A70536">
            <w:pPr>
              <w:pStyle w:val="ListParagraph"/>
              <w:numPr>
                <w:ilvl w:val="0"/>
                <w:numId w:val="17"/>
              </w:numPr>
              <w:rPr>
                <w:sz w:val="20"/>
                <w:szCs w:val="20"/>
              </w:rPr>
            </w:pPr>
            <w:r w:rsidRPr="009A5606">
              <w:rPr>
                <w:sz w:val="20"/>
                <w:szCs w:val="20"/>
              </w:rPr>
              <w:t>During our visit, we observed that 31 telephone calls had been missed during the morning surgery, and the average call waiting time in the queue was approximately eight minutes.</w:t>
            </w:r>
          </w:p>
          <w:p w14:paraId="0983AB08" w14:textId="77777777" w:rsidR="00FB0857" w:rsidRDefault="00FB0857" w:rsidP="00A70536">
            <w:pPr>
              <w:pStyle w:val="ListParagraph"/>
              <w:numPr>
                <w:ilvl w:val="0"/>
                <w:numId w:val="17"/>
              </w:numPr>
              <w:rPr>
                <w:sz w:val="20"/>
                <w:szCs w:val="20"/>
              </w:rPr>
            </w:pPr>
            <w:r w:rsidRPr="00FB0857">
              <w:rPr>
                <w:sz w:val="20"/>
                <w:szCs w:val="20"/>
              </w:rPr>
              <w:t>The GP Patient Survey further showed that 27.6% of patients found it easy to contact the practice by phone, compared with the national average of 52.9%.</w:t>
            </w:r>
          </w:p>
          <w:p w14:paraId="499BF716" w14:textId="5159BA34" w:rsidR="00415FCC" w:rsidRPr="0072271B" w:rsidRDefault="00415FCC" w:rsidP="00A70536">
            <w:pPr>
              <w:pStyle w:val="ListParagraph"/>
              <w:numPr>
                <w:ilvl w:val="0"/>
                <w:numId w:val="17"/>
              </w:numPr>
              <w:rPr>
                <w:sz w:val="20"/>
                <w:szCs w:val="20"/>
              </w:rPr>
            </w:pPr>
            <w:r w:rsidRPr="00415FCC">
              <w:rPr>
                <w:sz w:val="20"/>
                <w:szCs w:val="20"/>
              </w:rPr>
              <w:t>28% of patients who responded found it easy to contact the practice using their website. This was lower than the local average GP score of 46% and the national average score of 48%</w:t>
            </w:r>
          </w:p>
        </w:tc>
      </w:tr>
      <w:tr w:rsidR="00FB0857" w14:paraId="2B02CFF8" w14:textId="77777777" w:rsidTr="00DC6A0E">
        <w:tc>
          <w:tcPr>
            <w:tcW w:w="4395" w:type="dxa"/>
            <w:shd w:val="clear" w:color="auto" w:fill="F2CEED" w:themeFill="accent5" w:themeFillTint="33"/>
          </w:tcPr>
          <w:p w14:paraId="67DE7B4D" w14:textId="7237467F" w:rsidR="00FB0857" w:rsidRPr="00CD63BB" w:rsidRDefault="00FB0857" w:rsidP="0039766A">
            <w:r>
              <w:t>Equity in experiences and outcomes</w:t>
            </w:r>
          </w:p>
        </w:tc>
        <w:tc>
          <w:tcPr>
            <w:tcW w:w="10773" w:type="dxa"/>
          </w:tcPr>
          <w:p w14:paraId="5D8D15AF" w14:textId="77777777" w:rsidR="00FB0857" w:rsidRDefault="00FB0857" w:rsidP="00A70536">
            <w:pPr>
              <w:pStyle w:val="ListParagraph"/>
              <w:numPr>
                <w:ilvl w:val="0"/>
                <w:numId w:val="17"/>
              </w:numPr>
              <w:rPr>
                <w:sz w:val="20"/>
                <w:szCs w:val="20"/>
              </w:rPr>
            </w:pPr>
            <w:r>
              <w:rPr>
                <w:sz w:val="20"/>
                <w:szCs w:val="20"/>
              </w:rPr>
              <w:t>S</w:t>
            </w:r>
            <w:r w:rsidRPr="00FB0857">
              <w:rPr>
                <w:sz w:val="20"/>
                <w:szCs w:val="20"/>
              </w:rPr>
              <w:t>ome patients complained that they felt the doctors did not take enough time to listen to their problems and felt rushed during consultations.</w:t>
            </w:r>
          </w:p>
          <w:p w14:paraId="5D2D3979" w14:textId="3720570F" w:rsidR="00907032" w:rsidRPr="001237B8" w:rsidRDefault="00907032" w:rsidP="00A70536">
            <w:pPr>
              <w:pStyle w:val="ListParagraph"/>
              <w:numPr>
                <w:ilvl w:val="0"/>
                <w:numId w:val="17"/>
              </w:numPr>
              <w:rPr>
                <w:sz w:val="20"/>
                <w:szCs w:val="20"/>
              </w:rPr>
            </w:pPr>
            <w:r w:rsidRPr="00907032">
              <w:rPr>
                <w:sz w:val="20"/>
                <w:szCs w:val="20"/>
              </w:rPr>
              <w:t>Staff and leaders also told us that amendments could be made to appointments to accommodate those patients with a learning disability. This relied on patients identifying themselves as needing adjustments made and requesting these. We did not see any signposting by staff and leaders or analysis of other groups that may require support to access care.</w:t>
            </w:r>
          </w:p>
        </w:tc>
      </w:tr>
      <w:tr w:rsidR="0072073D" w14:paraId="14FF83A5" w14:textId="77777777" w:rsidTr="00DC6A0E">
        <w:tc>
          <w:tcPr>
            <w:tcW w:w="4395" w:type="dxa"/>
            <w:shd w:val="clear" w:color="auto" w:fill="F2CEED" w:themeFill="accent5" w:themeFillTint="33"/>
          </w:tcPr>
          <w:p w14:paraId="405D26E3" w14:textId="0B7E122E" w:rsidR="0072073D" w:rsidRDefault="0072073D" w:rsidP="0039766A">
            <w:proofErr w:type="gramStart"/>
            <w:r>
              <w:t>Planning for the future</w:t>
            </w:r>
            <w:proofErr w:type="gramEnd"/>
          </w:p>
        </w:tc>
        <w:tc>
          <w:tcPr>
            <w:tcW w:w="10773" w:type="dxa"/>
          </w:tcPr>
          <w:p w14:paraId="50A99680" w14:textId="227EF88E" w:rsidR="0072073D" w:rsidRDefault="00117CE2" w:rsidP="00A70536">
            <w:pPr>
              <w:pStyle w:val="ListParagraph"/>
              <w:numPr>
                <w:ilvl w:val="0"/>
                <w:numId w:val="17"/>
              </w:numPr>
              <w:rPr>
                <w:sz w:val="20"/>
                <w:szCs w:val="20"/>
              </w:rPr>
            </w:pPr>
            <w:r w:rsidRPr="00117CE2">
              <w:rPr>
                <w:sz w:val="20"/>
                <w:szCs w:val="20"/>
              </w:rPr>
              <w:t>During the assessment, we conducted a review of 10 medical records for patients with a coded Do not attempt cardiopulmonary resuscitation (DNACPR) decision. Not all were accessible to clinicians when checked. Some coding had not been updated following a change in patient condition.</w:t>
            </w:r>
          </w:p>
        </w:tc>
      </w:tr>
      <w:tr w:rsidR="0039766A" w14:paraId="2AEBC470" w14:textId="77777777" w:rsidTr="00DC6A0E">
        <w:tc>
          <w:tcPr>
            <w:tcW w:w="4395" w:type="dxa"/>
            <w:shd w:val="clear" w:color="auto" w:fill="747474" w:themeFill="background2" w:themeFillShade="80"/>
          </w:tcPr>
          <w:p w14:paraId="10D16C83" w14:textId="224B12AC" w:rsidR="0039766A" w:rsidRPr="0039766A" w:rsidRDefault="0039766A" w:rsidP="0039766A">
            <w:pPr>
              <w:rPr>
                <w:b/>
                <w:bCs/>
              </w:rPr>
            </w:pPr>
            <w:r w:rsidRPr="0039766A">
              <w:rPr>
                <w:b/>
                <w:bCs/>
              </w:rPr>
              <w:t>WELL-LED</w:t>
            </w:r>
          </w:p>
        </w:tc>
        <w:tc>
          <w:tcPr>
            <w:tcW w:w="10773" w:type="dxa"/>
          </w:tcPr>
          <w:p w14:paraId="4D3CA752" w14:textId="77777777" w:rsidR="0039766A" w:rsidRPr="00B04ADD" w:rsidRDefault="0039766A" w:rsidP="0039766A">
            <w:pPr>
              <w:rPr>
                <w:sz w:val="20"/>
                <w:szCs w:val="20"/>
              </w:rPr>
            </w:pPr>
          </w:p>
        </w:tc>
      </w:tr>
      <w:tr w:rsidR="003E6616" w14:paraId="2182F0C8" w14:textId="77777777" w:rsidTr="00DC6A0E">
        <w:tc>
          <w:tcPr>
            <w:tcW w:w="4395" w:type="dxa"/>
            <w:shd w:val="clear" w:color="auto" w:fill="D1D1D1" w:themeFill="background2" w:themeFillShade="E6"/>
          </w:tcPr>
          <w:p w14:paraId="005E712C" w14:textId="57B82760" w:rsidR="003E6616" w:rsidRPr="00CD63BB" w:rsidRDefault="003E6616" w:rsidP="003E6616">
            <w:r w:rsidRPr="00326FE0">
              <w:t>Shared direction and culture</w:t>
            </w:r>
          </w:p>
        </w:tc>
        <w:tc>
          <w:tcPr>
            <w:tcW w:w="10773" w:type="dxa"/>
          </w:tcPr>
          <w:p w14:paraId="05149EB1" w14:textId="77777777" w:rsidR="00C25E6A" w:rsidRDefault="00E26984" w:rsidP="00101F73">
            <w:pPr>
              <w:pStyle w:val="ListParagraph"/>
              <w:numPr>
                <w:ilvl w:val="0"/>
                <w:numId w:val="23"/>
              </w:numPr>
              <w:rPr>
                <w:sz w:val="20"/>
                <w:szCs w:val="20"/>
              </w:rPr>
            </w:pPr>
            <w:r w:rsidRPr="00E26984">
              <w:rPr>
                <w:sz w:val="20"/>
                <w:szCs w:val="20"/>
              </w:rPr>
              <w:t xml:space="preserve">Staff meetings were inconsistent and as a result, the vision for the practice was not shared with all staff. Staff did not always feel valued. Some staff felt they had a high workload. Complaints and significant events were not managed in line with policy. The provider was recruiting additional staff however they were not in post at time of our </w:t>
            </w:r>
            <w:proofErr w:type="gramStart"/>
            <w:r w:rsidRPr="00E26984">
              <w:rPr>
                <w:sz w:val="20"/>
                <w:szCs w:val="20"/>
              </w:rPr>
              <w:t>assessment</w:t>
            </w:r>
            <w:proofErr w:type="gramEnd"/>
            <w:r w:rsidRPr="00E26984">
              <w:rPr>
                <w:sz w:val="20"/>
                <w:szCs w:val="20"/>
              </w:rPr>
              <w:t xml:space="preserve"> so we are unable to assess the </w:t>
            </w:r>
            <w:r w:rsidR="00C02E61" w:rsidRPr="00E26984">
              <w:rPr>
                <w:sz w:val="20"/>
                <w:szCs w:val="20"/>
              </w:rPr>
              <w:t>long-term</w:t>
            </w:r>
            <w:r w:rsidRPr="00E26984">
              <w:rPr>
                <w:sz w:val="20"/>
                <w:szCs w:val="20"/>
              </w:rPr>
              <w:t xml:space="preserve"> impact of this. Staff were not involved in the </w:t>
            </w:r>
            <w:proofErr w:type="gramStart"/>
            <w:r w:rsidRPr="00E26984">
              <w:rPr>
                <w:sz w:val="20"/>
                <w:szCs w:val="20"/>
              </w:rPr>
              <w:t>long term</w:t>
            </w:r>
            <w:proofErr w:type="gramEnd"/>
            <w:r w:rsidRPr="00E26984">
              <w:rPr>
                <w:sz w:val="20"/>
                <w:szCs w:val="20"/>
              </w:rPr>
              <w:t xml:space="preserve"> strategy for the practice.</w:t>
            </w:r>
          </w:p>
          <w:p w14:paraId="42285CF5" w14:textId="61FB4A8D" w:rsidR="003A6817" w:rsidRPr="00101F73" w:rsidRDefault="003A6817" w:rsidP="00101F73">
            <w:pPr>
              <w:pStyle w:val="ListParagraph"/>
              <w:numPr>
                <w:ilvl w:val="0"/>
                <w:numId w:val="23"/>
              </w:numPr>
              <w:rPr>
                <w:sz w:val="20"/>
                <w:szCs w:val="20"/>
              </w:rPr>
            </w:pPr>
            <w:r w:rsidRPr="003A6817">
              <w:rPr>
                <w:sz w:val="20"/>
                <w:szCs w:val="20"/>
              </w:rPr>
              <w:t>Some staff also told us that leaders were not always in the practice for support, and they did not feel comfortable sharing personal and confidential information.</w:t>
            </w:r>
          </w:p>
        </w:tc>
      </w:tr>
      <w:tr w:rsidR="003E6616" w14:paraId="38701C09" w14:textId="77777777" w:rsidTr="00DC6A0E">
        <w:tc>
          <w:tcPr>
            <w:tcW w:w="4395" w:type="dxa"/>
            <w:shd w:val="clear" w:color="auto" w:fill="D1D1D1" w:themeFill="background2" w:themeFillShade="E6"/>
          </w:tcPr>
          <w:p w14:paraId="7B1DE62D" w14:textId="4ECB7593" w:rsidR="003E6616" w:rsidRPr="00CD63BB" w:rsidRDefault="003E6616" w:rsidP="003E6616">
            <w:r w:rsidRPr="00326FE0">
              <w:t>Capable, compassionate and inclusive leaders</w:t>
            </w:r>
          </w:p>
        </w:tc>
        <w:tc>
          <w:tcPr>
            <w:tcW w:w="10773" w:type="dxa"/>
          </w:tcPr>
          <w:p w14:paraId="2B66E726" w14:textId="77777777" w:rsidR="005C5730" w:rsidRDefault="003157C1" w:rsidP="00ED198F">
            <w:pPr>
              <w:pStyle w:val="ListParagraph"/>
              <w:numPr>
                <w:ilvl w:val="0"/>
                <w:numId w:val="19"/>
              </w:numPr>
              <w:rPr>
                <w:sz w:val="20"/>
                <w:szCs w:val="20"/>
              </w:rPr>
            </w:pPr>
            <w:r w:rsidRPr="003157C1">
              <w:rPr>
                <w:sz w:val="20"/>
                <w:szCs w:val="20"/>
              </w:rPr>
              <w:t>Not all leaders understood the context in which the service delivered care, treatment and support. They did not always embody the culture and values of their workforce and organisation. Leaders did not always have the skills, knowledge, experience and credibility to lead effectively, or they did not always do so with integrity, openness and honesty. Staff did not always feel that concerns raised would be acted upon. We saw examples where there was lack of oversight from the leadership team which led to systems and processes not running effectively</w:t>
            </w:r>
          </w:p>
          <w:p w14:paraId="45145790" w14:textId="1B3C653A" w:rsidR="00BD1D0F" w:rsidRPr="00ED198F" w:rsidRDefault="00BD1D0F" w:rsidP="00ED198F">
            <w:pPr>
              <w:pStyle w:val="ListParagraph"/>
              <w:numPr>
                <w:ilvl w:val="0"/>
                <w:numId w:val="19"/>
              </w:numPr>
              <w:rPr>
                <w:sz w:val="20"/>
                <w:szCs w:val="20"/>
              </w:rPr>
            </w:pPr>
            <w:r>
              <w:rPr>
                <w:sz w:val="20"/>
                <w:szCs w:val="20"/>
              </w:rPr>
              <w:t>L</w:t>
            </w:r>
            <w:r w:rsidRPr="00BD1D0F">
              <w:rPr>
                <w:sz w:val="20"/>
                <w:szCs w:val="20"/>
              </w:rPr>
              <w:t>eaders did not understand all risks to delivering safe and effective care as they were not aware of some of the issues we identified during the assessment.</w:t>
            </w:r>
          </w:p>
        </w:tc>
      </w:tr>
      <w:tr w:rsidR="003E6616" w14:paraId="47F8FA09" w14:textId="77777777" w:rsidTr="00DC6A0E">
        <w:tc>
          <w:tcPr>
            <w:tcW w:w="4395" w:type="dxa"/>
            <w:shd w:val="clear" w:color="auto" w:fill="D1D1D1" w:themeFill="background2" w:themeFillShade="E6"/>
          </w:tcPr>
          <w:p w14:paraId="15C7D476" w14:textId="6E6A7139" w:rsidR="003E6616" w:rsidRPr="00CD63BB" w:rsidRDefault="003E6616" w:rsidP="003E6616">
            <w:r w:rsidRPr="00326FE0">
              <w:t>Freedom to speak up</w:t>
            </w:r>
          </w:p>
        </w:tc>
        <w:tc>
          <w:tcPr>
            <w:tcW w:w="10773" w:type="dxa"/>
          </w:tcPr>
          <w:p w14:paraId="303B8C08" w14:textId="77777777" w:rsidR="003E6616" w:rsidRDefault="003157C1" w:rsidP="00AF371B">
            <w:pPr>
              <w:pStyle w:val="ListParagraph"/>
              <w:numPr>
                <w:ilvl w:val="0"/>
                <w:numId w:val="21"/>
              </w:numPr>
              <w:rPr>
                <w:sz w:val="20"/>
                <w:szCs w:val="20"/>
              </w:rPr>
            </w:pPr>
            <w:r w:rsidRPr="003157C1">
              <w:rPr>
                <w:sz w:val="20"/>
                <w:szCs w:val="20"/>
              </w:rPr>
              <w:t>People did not always feel they could speak up and that their voice would be heard. Staff knew how to raise concern but did not always feel their concerns would be acted upon.</w:t>
            </w:r>
          </w:p>
          <w:p w14:paraId="2E2E7987" w14:textId="1583026C" w:rsidR="00214885" w:rsidRPr="00AF371B" w:rsidRDefault="00214885" w:rsidP="00AF371B">
            <w:pPr>
              <w:pStyle w:val="ListParagraph"/>
              <w:numPr>
                <w:ilvl w:val="0"/>
                <w:numId w:val="21"/>
              </w:numPr>
              <w:rPr>
                <w:sz w:val="20"/>
                <w:szCs w:val="20"/>
              </w:rPr>
            </w:pPr>
            <w:r w:rsidRPr="00214885">
              <w:rPr>
                <w:sz w:val="20"/>
                <w:szCs w:val="20"/>
              </w:rPr>
              <w:t>We did not see evidence in the training records that all staff had completed whistleblowing training.</w:t>
            </w:r>
          </w:p>
        </w:tc>
      </w:tr>
      <w:tr w:rsidR="003E6616" w14:paraId="6CF1F49E" w14:textId="77777777" w:rsidTr="00DC6A0E">
        <w:tc>
          <w:tcPr>
            <w:tcW w:w="4395" w:type="dxa"/>
            <w:shd w:val="clear" w:color="auto" w:fill="D1D1D1" w:themeFill="background2" w:themeFillShade="E6"/>
          </w:tcPr>
          <w:p w14:paraId="117E2A11" w14:textId="04869C56" w:rsidR="003E6616" w:rsidRPr="00CD63BB" w:rsidRDefault="003E6616" w:rsidP="003E6616">
            <w:r w:rsidRPr="00326FE0">
              <w:t>Workforce equality, diversity and inclusion</w:t>
            </w:r>
          </w:p>
        </w:tc>
        <w:tc>
          <w:tcPr>
            <w:tcW w:w="10773" w:type="dxa"/>
          </w:tcPr>
          <w:p w14:paraId="1E1ED1EB" w14:textId="77777777" w:rsidR="003E6616" w:rsidRDefault="007264A8" w:rsidP="002809EF">
            <w:pPr>
              <w:pStyle w:val="ListParagraph"/>
              <w:numPr>
                <w:ilvl w:val="0"/>
                <w:numId w:val="20"/>
              </w:numPr>
              <w:rPr>
                <w:sz w:val="20"/>
                <w:szCs w:val="20"/>
              </w:rPr>
            </w:pPr>
            <w:r>
              <w:rPr>
                <w:sz w:val="20"/>
                <w:szCs w:val="20"/>
              </w:rPr>
              <w:t>O</w:t>
            </w:r>
            <w:r w:rsidRPr="007264A8">
              <w:rPr>
                <w:sz w:val="20"/>
                <w:szCs w:val="20"/>
              </w:rPr>
              <w:t>ne staff group never received any breaks in the working day and this had been ongoing for some time. The practice planned to address this at the time of our assessment.</w:t>
            </w:r>
          </w:p>
          <w:p w14:paraId="3020949C" w14:textId="0341C2B5" w:rsidR="00495434" w:rsidRPr="002809EF" w:rsidRDefault="00495434" w:rsidP="002809EF">
            <w:pPr>
              <w:pStyle w:val="ListParagraph"/>
              <w:numPr>
                <w:ilvl w:val="0"/>
                <w:numId w:val="20"/>
              </w:numPr>
              <w:rPr>
                <w:sz w:val="20"/>
                <w:szCs w:val="20"/>
              </w:rPr>
            </w:pPr>
            <w:r w:rsidRPr="00495434">
              <w:rPr>
                <w:sz w:val="20"/>
                <w:szCs w:val="20"/>
              </w:rPr>
              <w:t>Staff reported episodes of aggression from the public including racially motivated abuse. The practice did not have a clear process in place to manage these incidents and found it hard to identify how they could prevent further episodes.</w:t>
            </w:r>
          </w:p>
        </w:tc>
      </w:tr>
      <w:tr w:rsidR="003E6616" w14:paraId="6234E909" w14:textId="77777777" w:rsidTr="00DC6A0E">
        <w:tc>
          <w:tcPr>
            <w:tcW w:w="4395" w:type="dxa"/>
            <w:shd w:val="clear" w:color="auto" w:fill="D1D1D1" w:themeFill="background2" w:themeFillShade="E6"/>
          </w:tcPr>
          <w:p w14:paraId="3C62F123" w14:textId="3B282FD6" w:rsidR="003E6616" w:rsidRPr="00CD63BB" w:rsidRDefault="003E6616" w:rsidP="003E6616">
            <w:r w:rsidRPr="00326FE0">
              <w:t>Governance, management and sustainability</w:t>
            </w:r>
          </w:p>
        </w:tc>
        <w:tc>
          <w:tcPr>
            <w:tcW w:w="10773" w:type="dxa"/>
          </w:tcPr>
          <w:p w14:paraId="3E3317C5" w14:textId="77777777" w:rsidR="00AD02EC" w:rsidRDefault="007264A8" w:rsidP="00AF371B">
            <w:pPr>
              <w:pStyle w:val="ListParagraph"/>
              <w:numPr>
                <w:ilvl w:val="0"/>
                <w:numId w:val="20"/>
              </w:numPr>
              <w:rPr>
                <w:sz w:val="20"/>
                <w:szCs w:val="20"/>
              </w:rPr>
            </w:pPr>
            <w:r w:rsidRPr="007264A8">
              <w:rPr>
                <w:sz w:val="20"/>
                <w:szCs w:val="20"/>
              </w:rPr>
              <w:t>The practice did not consistently manage complaints, significant events, recruitment and training to an acceptable level. During a change in management, there was no clear system in place for managing this transition and delegation of tasks to ensure systems and processes were maintained was not implemented.</w:t>
            </w:r>
          </w:p>
          <w:p w14:paraId="5AB3E36E" w14:textId="77777777" w:rsidR="00A4294E" w:rsidRDefault="00A4294E" w:rsidP="00AF371B">
            <w:pPr>
              <w:pStyle w:val="ListParagraph"/>
              <w:numPr>
                <w:ilvl w:val="0"/>
                <w:numId w:val="20"/>
              </w:numPr>
              <w:rPr>
                <w:sz w:val="20"/>
                <w:szCs w:val="20"/>
              </w:rPr>
            </w:pPr>
            <w:r w:rsidRPr="00A4294E">
              <w:rPr>
                <w:sz w:val="20"/>
                <w:szCs w:val="20"/>
              </w:rPr>
              <w:t>The service did not always have full oversight to ensure tasks were completed in line with national guidance, particularly in relation to IPC audits.</w:t>
            </w:r>
          </w:p>
          <w:p w14:paraId="3AC993B9" w14:textId="7F09175A" w:rsidR="0026370C" w:rsidRPr="00A405D7" w:rsidRDefault="0026370C" w:rsidP="00A405D7">
            <w:pPr>
              <w:pStyle w:val="ListParagraph"/>
              <w:numPr>
                <w:ilvl w:val="0"/>
                <w:numId w:val="20"/>
              </w:numPr>
              <w:rPr>
                <w:sz w:val="20"/>
                <w:szCs w:val="20"/>
              </w:rPr>
            </w:pPr>
            <w:r>
              <w:rPr>
                <w:sz w:val="20"/>
                <w:szCs w:val="20"/>
              </w:rPr>
              <w:t>S</w:t>
            </w:r>
            <w:r w:rsidRPr="0026370C">
              <w:rPr>
                <w:sz w:val="20"/>
                <w:szCs w:val="20"/>
              </w:rPr>
              <w:t>ome staff were unclear who the lead was for infection prevention and control and safeguarding.</w:t>
            </w:r>
          </w:p>
        </w:tc>
      </w:tr>
      <w:tr w:rsidR="003E6616" w14:paraId="7D82EE59" w14:textId="77777777" w:rsidTr="00DC6A0E">
        <w:tc>
          <w:tcPr>
            <w:tcW w:w="4395" w:type="dxa"/>
            <w:shd w:val="clear" w:color="auto" w:fill="D1D1D1" w:themeFill="background2" w:themeFillShade="E6"/>
          </w:tcPr>
          <w:p w14:paraId="5FC85FCE" w14:textId="0FBFFF1C" w:rsidR="003E6616" w:rsidRPr="00CD63BB" w:rsidRDefault="003E6616" w:rsidP="003E6616">
            <w:r w:rsidRPr="00326FE0">
              <w:t>Partnerships and communities</w:t>
            </w:r>
          </w:p>
        </w:tc>
        <w:tc>
          <w:tcPr>
            <w:tcW w:w="10773" w:type="dxa"/>
          </w:tcPr>
          <w:p w14:paraId="7DA09D3B" w14:textId="77777777" w:rsidR="00FA4721" w:rsidRDefault="00563971" w:rsidP="000237A3">
            <w:pPr>
              <w:pStyle w:val="ListParagraph"/>
              <w:numPr>
                <w:ilvl w:val="0"/>
                <w:numId w:val="20"/>
              </w:numPr>
              <w:rPr>
                <w:sz w:val="20"/>
                <w:szCs w:val="20"/>
              </w:rPr>
            </w:pPr>
            <w:r w:rsidRPr="00563971">
              <w:rPr>
                <w:sz w:val="20"/>
                <w:szCs w:val="20"/>
              </w:rPr>
              <w:t>There was no evidence to show that the practice worked or had established relationships with other practices to share and improve outcomes.</w:t>
            </w:r>
          </w:p>
          <w:p w14:paraId="25104DBC" w14:textId="1082E570" w:rsidR="00051552" w:rsidRPr="000237A3" w:rsidRDefault="00051552" w:rsidP="000237A3">
            <w:pPr>
              <w:pStyle w:val="ListParagraph"/>
              <w:numPr>
                <w:ilvl w:val="0"/>
                <w:numId w:val="20"/>
              </w:numPr>
              <w:rPr>
                <w:sz w:val="20"/>
                <w:szCs w:val="20"/>
              </w:rPr>
            </w:pPr>
            <w:r>
              <w:rPr>
                <w:sz w:val="20"/>
                <w:szCs w:val="20"/>
              </w:rPr>
              <w:t>T</w:t>
            </w:r>
            <w:r w:rsidRPr="00051552">
              <w:rPr>
                <w:sz w:val="20"/>
                <w:szCs w:val="20"/>
              </w:rPr>
              <w:t>he practice’s website was not always kept updated to keep people well informed.</w:t>
            </w:r>
          </w:p>
        </w:tc>
      </w:tr>
      <w:tr w:rsidR="003E6616" w14:paraId="3CE7F1C5" w14:textId="77777777" w:rsidTr="00DC6A0E">
        <w:tc>
          <w:tcPr>
            <w:tcW w:w="4395" w:type="dxa"/>
            <w:shd w:val="clear" w:color="auto" w:fill="D1D1D1" w:themeFill="background2" w:themeFillShade="E6"/>
          </w:tcPr>
          <w:p w14:paraId="2C28219B" w14:textId="53AA8AE5" w:rsidR="003E6616" w:rsidRPr="00CD63BB" w:rsidRDefault="003E6616" w:rsidP="003E6616">
            <w:r w:rsidRPr="00326FE0">
              <w:t>Learning, improvement and innovation</w:t>
            </w:r>
          </w:p>
        </w:tc>
        <w:tc>
          <w:tcPr>
            <w:tcW w:w="10773" w:type="dxa"/>
          </w:tcPr>
          <w:p w14:paraId="44EEE12D" w14:textId="77777777" w:rsidR="00FA4721" w:rsidRDefault="00AD459B" w:rsidP="007948BE">
            <w:pPr>
              <w:pStyle w:val="ListParagraph"/>
              <w:numPr>
                <w:ilvl w:val="0"/>
                <w:numId w:val="20"/>
              </w:numPr>
              <w:rPr>
                <w:sz w:val="20"/>
                <w:szCs w:val="20"/>
              </w:rPr>
            </w:pPr>
            <w:r w:rsidRPr="00AD459B">
              <w:rPr>
                <w:sz w:val="20"/>
                <w:szCs w:val="20"/>
              </w:rPr>
              <w:t>The practice did evidence in house training sessions they ran but frequency was inconsistent and did not reach all staff to have widespread impact.</w:t>
            </w:r>
          </w:p>
          <w:p w14:paraId="00E86CE8" w14:textId="77777777" w:rsidR="00E97A6C" w:rsidRDefault="00E97A6C" w:rsidP="007948BE">
            <w:pPr>
              <w:pStyle w:val="ListParagraph"/>
              <w:numPr>
                <w:ilvl w:val="0"/>
                <w:numId w:val="20"/>
              </w:numPr>
              <w:rPr>
                <w:sz w:val="20"/>
                <w:szCs w:val="20"/>
              </w:rPr>
            </w:pPr>
            <w:r w:rsidRPr="00E97A6C">
              <w:rPr>
                <w:sz w:val="20"/>
                <w:szCs w:val="20"/>
              </w:rPr>
              <w:t>The provider had systems and processes in place to investigate and report incidents; however, these were not routinely followed. We saw significant delays in responses to complaints which were not being handled in line with the policy.</w:t>
            </w:r>
          </w:p>
          <w:p w14:paraId="1A9E1067" w14:textId="7DCEE3E2" w:rsidR="00CC3C4B" w:rsidRPr="007948BE" w:rsidRDefault="00CC3C4B" w:rsidP="007948BE">
            <w:pPr>
              <w:pStyle w:val="ListParagraph"/>
              <w:numPr>
                <w:ilvl w:val="0"/>
                <w:numId w:val="20"/>
              </w:numPr>
              <w:rPr>
                <w:sz w:val="20"/>
                <w:szCs w:val="20"/>
              </w:rPr>
            </w:pPr>
            <w:r w:rsidRPr="00CC3C4B">
              <w:rPr>
                <w:sz w:val="20"/>
                <w:szCs w:val="20"/>
              </w:rPr>
              <w:t>Since the previous inspection, the practice had developed a system for oversight and monitoring of staff training, however, records we viewed demonstrated gaps in clinical supervision.</w:t>
            </w:r>
          </w:p>
        </w:tc>
      </w:tr>
      <w:bookmarkEnd w:id="0"/>
    </w:tbl>
    <w:p w14:paraId="65998631" w14:textId="77777777" w:rsidR="000E61CA" w:rsidRDefault="000E61CA" w:rsidP="00BF5B40">
      <w:pPr>
        <w:rPr>
          <w:b/>
          <w:bCs/>
          <w:u w:val="single"/>
        </w:rPr>
      </w:pPr>
    </w:p>
    <w:p w14:paraId="3CD44A95" w14:textId="77777777" w:rsidR="00571085" w:rsidRDefault="00571085" w:rsidP="00BF5B40">
      <w:pPr>
        <w:rPr>
          <w:b/>
          <w:bCs/>
          <w:u w:val="single"/>
        </w:rPr>
      </w:pPr>
    </w:p>
    <w:p w14:paraId="5452D93B" w14:textId="6FC8FAAF" w:rsidR="000E14D2" w:rsidRDefault="005F2DDA" w:rsidP="00A8660D">
      <w:pPr>
        <w:jc w:val="center"/>
        <w:rPr>
          <w:b/>
          <w:bCs/>
          <w:sz w:val="32"/>
          <w:szCs w:val="32"/>
          <w:u w:val="single"/>
        </w:rPr>
      </w:pPr>
      <w:r w:rsidRPr="00571085">
        <w:rPr>
          <w:b/>
          <w:bCs/>
          <w:sz w:val="32"/>
          <w:szCs w:val="32"/>
          <w:u w:val="single"/>
        </w:rPr>
        <w:t xml:space="preserve">Outstanding </w:t>
      </w:r>
      <w:r w:rsidR="001C42A1" w:rsidRPr="00571085">
        <w:rPr>
          <w:b/>
          <w:bCs/>
          <w:sz w:val="32"/>
          <w:szCs w:val="32"/>
          <w:u w:val="single"/>
        </w:rPr>
        <w:t>Performance</w:t>
      </w:r>
      <w:r w:rsidR="00431ADF" w:rsidRPr="00571085">
        <w:rPr>
          <w:b/>
          <w:bCs/>
          <w:sz w:val="32"/>
          <w:szCs w:val="32"/>
          <w:u w:val="single"/>
        </w:rPr>
        <w:t xml:space="preserve"> (scores of 4):</w:t>
      </w:r>
    </w:p>
    <w:p w14:paraId="28A15A0A" w14:textId="77777777" w:rsidR="00B56788" w:rsidRPr="00571085" w:rsidRDefault="00B56788" w:rsidP="00BF5B40">
      <w:pPr>
        <w:rPr>
          <w:b/>
          <w:bCs/>
          <w:sz w:val="32"/>
          <w:szCs w:val="32"/>
          <w:u w:val="single"/>
        </w:rPr>
      </w:pPr>
    </w:p>
    <w:tbl>
      <w:tblPr>
        <w:tblStyle w:val="TableGrid"/>
        <w:tblW w:w="15168" w:type="dxa"/>
        <w:tblInd w:w="-714" w:type="dxa"/>
        <w:tblLook w:val="04A0" w:firstRow="1" w:lastRow="0" w:firstColumn="1" w:lastColumn="0" w:noHBand="0" w:noVBand="1"/>
      </w:tblPr>
      <w:tblGrid>
        <w:gridCol w:w="4395"/>
        <w:gridCol w:w="10773"/>
      </w:tblGrid>
      <w:tr w:rsidR="000E14D2" w14:paraId="7E55D7C1" w14:textId="77777777" w:rsidTr="00D40967">
        <w:tc>
          <w:tcPr>
            <w:tcW w:w="4395" w:type="dxa"/>
            <w:shd w:val="clear" w:color="auto" w:fill="FFFFFF" w:themeFill="background1"/>
          </w:tcPr>
          <w:p w14:paraId="0DC30C3F" w14:textId="77777777" w:rsidR="000E14D2" w:rsidRDefault="000E14D2" w:rsidP="00D40967">
            <w:pPr>
              <w:rPr>
                <w:b/>
                <w:bCs/>
              </w:rPr>
            </w:pPr>
          </w:p>
        </w:tc>
        <w:tc>
          <w:tcPr>
            <w:tcW w:w="10773" w:type="dxa"/>
          </w:tcPr>
          <w:p w14:paraId="0EB985FC" w14:textId="554CAF6B" w:rsidR="000E14D2" w:rsidRPr="00B04ADD" w:rsidRDefault="000E14D2" w:rsidP="00D40967">
            <w:pPr>
              <w:tabs>
                <w:tab w:val="left" w:pos="1152"/>
              </w:tabs>
              <w:rPr>
                <w:sz w:val="20"/>
                <w:szCs w:val="20"/>
              </w:rPr>
            </w:pPr>
            <w:r w:rsidRPr="00B04ADD">
              <w:rPr>
                <w:sz w:val="20"/>
                <w:szCs w:val="20"/>
              </w:rPr>
              <w:tab/>
              <w:t>INSPECTION COMMENTS (</w:t>
            </w:r>
            <w:r w:rsidRPr="00307D53">
              <w:rPr>
                <w:b/>
                <w:bCs/>
                <w:i/>
                <w:iCs/>
                <w:color w:val="E97132" w:themeColor="accent2"/>
                <w:sz w:val="20"/>
                <w:szCs w:val="20"/>
              </w:rPr>
              <w:t xml:space="preserve">all scored </w:t>
            </w:r>
            <w:r w:rsidR="00571085" w:rsidRPr="00307D53">
              <w:rPr>
                <w:b/>
                <w:bCs/>
                <w:i/>
                <w:iCs/>
                <w:color w:val="E97132" w:themeColor="accent2"/>
                <w:sz w:val="20"/>
                <w:szCs w:val="20"/>
              </w:rPr>
              <w:t>4</w:t>
            </w:r>
            <w:r w:rsidRPr="00307D53">
              <w:rPr>
                <w:b/>
                <w:bCs/>
                <w:i/>
                <w:iCs/>
                <w:color w:val="E97132" w:themeColor="accent2"/>
                <w:sz w:val="20"/>
                <w:szCs w:val="20"/>
              </w:rPr>
              <w:t xml:space="preserve"> by CQC</w:t>
            </w:r>
            <w:r w:rsidRPr="00B04ADD">
              <w:rPr>
                <w:sz w:val="20"/>
                <w:szCs w:val="20"/>
              </w:rPr>
              <w:t>)</w:t>
            </w:r>
          </w:p>
        </w:tc>
      </w:tr>
      <w:tr w:rsidR="000E14D2" w14:paraId="6176D1F5" w14:textId="77777777" w:rsidTr="00D40967">
        <w:tc>
          <w:tcPr>
            <w:tcW w:w="4395" w:type="dxa"/>
            <w:shd w:val="clear" w:color="auto" w:fill="47D459" w:themeFill="accent3" w:themeFillTint="99"/>
          </w:tcPr>
          <w:p w14:paraId="45F4FFC8" w14:textId="77777777" w:rsidR="000E14D2" w:rsidRPr="00AC198E" w:rsidRDefault="000E14D2" w:rsidP="00D40967">
            <w:pPr>
              <w:rPr>
                <w:b/>
                <w:bCs/>
              </w:rPr>
            </w:pPr>
            <w:r w:rsidRPr="00AC198E">
              <w:rPr>
                <w:b/>
                <w:bCs/>
              </w:rPr>
              <w:t>CARING</w:t>
            </w:r>
          </w:p>
        </w:tc>
        <w:tc>
          <w:tcPr>
            <w:tcW w:w="10773" w:type="dxa"/>
          </w:tcPr>
          <w:p w14:paraId="63056815" w14:textId="77777777" w:rsidR="000E14D2" w:rsidRPr="00571085" w:rsidRDefault="000E14D2" w:rsidP="00D40967">
            <w:pPr>
              <w:rPr>
                <w:sz w:val="20"/>
                <w:szCs w:val="20"/>
              </w:rPr>
            </w:pPr>
          </w:p>
        </w:tc>
      </w:tr>
      <w:tr w:rsidR="000E14D2" w14:paraId="5EF8BD54" w14:textId="77777777" w:rsidTr="00D40967">
        <w:tc>
          <w:tcPr>
            <w:tcW w:w="4395" w:type="dxa"/>
            <w:shd w:val="clear" w:color="auto" w:fill="C1F0C7" w:themeFill="accent3" w:themeFillTint="33"/>
          </w:tcPr>
          <w:p w14:paraId="26618629" w14:textId="77777777" w:rsidR="000E14D2" w:rsidRPr="00E34A2D" w:rsidRDefault="000E14D2" w:rsidP="00D40967">
            <w:r w:rsidRPr="00BD15EE">
              <w:t>Kindness, compassion and dignity</w:t>
            </w:r>
          </w:p>
        </w:tc>
        <w:tc>
          <w:tcPr>
            <w:tcW w:w="10773" w:type="dxa"/>
          </w:tcPr>
          <w:p w14:paraId="0F137B98" w14:textId="77777777" w:rsidR="000E14D2" w:rsidRDefault="00DC55E7" w:rsidP="000E61CA">
            <w:pPr>
              <w:pStyle w:val="ListParagraph"/>
              <w:numPr>
                <w:ilvl w:val="0"/>
                <w:numId w:val="15"/>
              </w:numPr>
              <w:rPr>
                <w:sz w:val="20"/>
                <w:szCs w:val="20"/>
              </w:rPr>
            </w:pPr>
            <w:r w:rsidRPr="00DC55E7">
              <w:rPr>
                <w:sz w:val="20"/>
                <w:szCs w:val="20"/>
              </w:rPr>
              <w:t>Processes were in place to ensure confidentiality in the reception area. For example, distressed patients or those wanting to speak confidentially with staff were offered a private space to do so. Staff told us they sent condolence cards for families experiencing bereavement and these had been appreciated by patients.</w:t>
            </w:r>
          </w:p>
          <w:p w14:paraId="0664AACA" w14:textId="7668FCF6" w:rsidR="0006003A" w:rsidRPr="0006003A" w:rsidRDefault="0006003A" w:rsidP="0006003A">
            <w:pPr>
              <w:pStyle w:val="ListParagraph"/>
              <w:numPr>
                <w:ilvl w:val="0"/>
                <w:numId w:val="15"/>
              </w:numPr>
              <w:rPr>
                <w:sz w:val="20"/>
                <w:szCs w:val="20"/>
              </w:rPr>
            </w:pPr>
            <w:r w:rsidRPr="0006003A">
              <w:rPr>
                <w:sz w:val="20"/>
                <w:szCs w:val="20"/>
              </w:rPr>
              <w:t>587 patients shared positive experiences of the practice directly with the Care Quality Commission. Comments from patients included: “Exceptional care and professionalism on every level” and “Excellent service and advice from all those I speak with from the nurses to the GPs.” We noted that the word excellent had been written no less than 200 times in the feedback received.</w:t>
            </w:r>
            <w:r>
              <w:rPr>
                <w:sz w:val="20"/>
                <w:szCs w:val="20"/>
              </w:rPr>
              <w:t xml:space="preserve"> </w:t>
            </w:r>
            <w:r w:rsidRPr="0006003A">
              <w:rPr>
                <w:sz w:val="20"/>
                <w:szCs w:val="20"/>
              </w:rPr>
              <w:t>Less positive comments were mainly about not having continuity of care with the same GP.</w:t>
            </w:r>
          </w:p>
        </w:tc>
      </w:tr>
      <w:tr w:rsidR="000E14D2" w14:paraId="28655799" w14:textId="77777777" w:rsidTr="00D40967">
        <w:tc>
          <w:tcPr>
            <w:tcW w:w="4395" w:type="dxa"/>
            <w:shd w:val="clear" w:color="auto" w:fill="C1F0C7" w:themeFill="accent3" w:themeFillTint="33"/>
          </w:tcPr>
          <w:p w14:paraId="3400CCBB" w14:textId="77777777" w:rsidR="000E14D2" w:rsidRPr="00E34A2D" w:rsidRDefault="000E14D2" w:rsidP="00D40967">
            <w:r w:rsidRPr="00BD15EE">
              <w:t>Workforce wellbeing and enablement</w:t>
            </w:r>
          </w:p>
        </w:tc>
        <w:tc>
          <w:tcPr>
            <w:tcW w:w="10773" w:type="dxa"/>
          </w:tcPr>
          <w:p w14:paraId="4B9C3620" w14:textId="77777777" w:rsidR="00F05BA2" w:rsidRDefault="00DB7294" w:rsidP="000E14D2">
            <w:pPr>
              <w:pStyle w:val="ListParagraph"/>
              <w:numPr>
                <w:ilvl w:val="0"/>
                <w:numId w:val="15"/>
              </w:numPr>
              <w:rPr>
                <w:sz w:val="20"/>
                <w:szCs w:val="20"/>
              </w:rPr>
            </w:pPr>
            <w:r w:rsidRPr="00DB7294">
              <w:rPr>
                <w:sz w:val="20"/>
                <w:szCs w:val="20"/>
              </w:rPr>
              <w:t xml:space="preserve">Within the staff room, we observed a wellbeing noticeboard which showcased what the team had been doing in their spare time such as staff participating in </w:t>
            </w:r>
            <w:proofErr w:type="spellStart"/>
            <w:r w:rsidRPr="00DB7294">
              <w:rPr>
                <w:sz w:val="20"/>
                <w:szCs w:val="20"/>
              </w:rPr>
              <w:t>triathalons</w:t>
            </w:r>
            <w:proofErr w:type="spellEnd"/>
            <w:r w:rsidRPr="00DB7294">
              <w:rPr>
                <w:sz w:val="20"/>
                <w:szCs w:val="20"/>
              </w:rPr>
              <w:t xml:space="preserve"> and attending theatre groups together.</w:t>
            </w:r>
          </w:p>
          <w:p w14:paraId="49639D82" w14:textId="77777777" w:rsidR="006E5264" w:rsidRDefault="006E5264" w:rsidP="000E14D2">
            <w:pPr>
              <w:pStyle w:val="ListParagraph"/>
              <w:numPr>
                <w:ilvl w:val="0"/>
                <w:numId w:val="15"/>
              </w:numPr>
              <w:rPr>
                <w:sz w:val="20"/>
                <w:szCs w:val="20"/>
              </w:rPr>
            </w:pPr>
            <w:r w:rsidRPr="006E5264">
              <w:rPr>
                <w:sz w:val="20"/>
                <w:szCs w:val="20"/>
              </w:rPr>
              <w:t>As part of promoting healthy lifestyles, the practice provided a weekly supply of fresh fruit in the staff room. In addition, the practice had purchased raised desks and under table step machines for staff to use.</w:t>
            </w:r>
          </w:p>
          <w:p w14:paraId="2C79C406" w14:textId="77777777" w:rsidR="0021274B" w:rsidRDefault="0021274B" w:rsidP="000E14D2">
            <w:pPr>
              <w:pStyle w:val="ListParagraph"/>
              <w:numPr>
                <w:ilvl w:val="0"/>
                <w:numId w:val="15"/>
              </w:numPr>
              <w:rPr>
                <w:sz w:val="20"/>
                <w:szCs w:val="20"/>
              </w:rPr>
            </w:pPr>
            <w:r w:rsidRPr="0021274B">
              <w:rPr>
                <w:sz w:val="20"/>
                <w:szCs w:val="20"/>
              </w:rPr>
              <w:t>Leaders told us they were arranging a picnic bench in the practice gardens for staff to use at lunch and break times. In addition, an air conditioning unit for the secretarial room was in the process of being arranged, in response to staff feedback. The practice had also invested in branded fleeces for staff for the winter months and branded polo shirts for the summer.</w:t>
            </w:r>
          </w:p>
          <w:p w14:paraId="1DBAF568" w14:textId="4CEC77A2" w:rsidR="00390411" w:rsidRPr="00571085" w:rsidRDefault="00390411" w:rsidP="000E14D2">
            <w:pPr>
              <w:pStyle w:val="ListParagraph"/>
              <w:numPr>
                <w:ilvl w:val="0"/>
                <w:numId w:val="15"/>
              </w:numPr>
              <w:rPr>
                <w:sz w:val="20"/>
                <w:szCs w:val="20"/>
              </w:rPr>
            </w:pPr>
            <w:r w:rsidRPr="00390411">
              <w:rPr>
                <w:sz w:val="20"/>
                <w:szCs w:val="20"/>
              </w:rPr>
              <w:t>Staff were able to provide anonymous feedback via a QR code displayed in the staff areas of the practice.</w:t>
            </w:r>
          </w:p>
        </w:tc>
      </w:tr>
      <w:tr w:rsidR="007D33E6" w14:paraId="0D5CC6A2" w14:textId="77777777" w:rsidTr="00D40967">
        <w:tc>
          <w:tcPr>
            <w:tcW w:w="4395" w:type="dxa"/>
            <w:shd w:val="clear" w:color="auto" w:fill="C1F0C7" w:themeFill="accent3" w:themeFillTint="33"/>
          </w:tcPr>
          <w:p w14:paraId="283ABD0C" w14:textId="5DE97552" w:rsidR="007D33E6" w:rsidRPr="00BD15EE" w:rsidRDefault="007D33E6" w:rsidP="00D40967">
            <w:r>
              <w:t>Treating people as individuals</w:t>
            </w:r>
          </w:p>
        </w:tc>
        <w:tc>
          <w:tcPr>
            <w:tcW w:w="10773" w:type="dxa"/>
          </w:tcPr>
          <w:p w14:paraId="05B8B644" w14:textId="77777777" w:rsidR="007D33E6" w:rsidRDefault="007D33E6" w:rsidP="000E14D2">
            <w:pPr>
              <w:pStyle w:val="ListParagraph"/>
              <w:numPr>
                <w:ilvl w:val="0"/>
                <w:numId w:val="15"/>
              </w:numPr>
              <w:rPr>
                <w:sz w:val="20"/>
                <w:szCs w:val="20"/>
              </w:rPr>
            </w:pPr>
            <w:r w:rsidRPr="007D33E6">
              <w:rPr>
                <w:sz w:val="20"/>
                <w:szCs w:val="20"/>
              </w:rPr>
              <w:t>People were asked at registration about their first language and a patient’s preferred method of communication was recorded on their electronic record.</w:t>
            </w:r>
          </w:p>
          <w:p w14:paraId="31AB1297" w14:textId="77777777" w:rsidR="00D22436" w:rsidRDefault="00D22436" w:rsidP="000E14D2">
            <w:pPr>
              <w:pStyle w:val="ListParagraph"/>
              <w:numPr>
                <w:ilvl w:val="0"/>
                <w:numId w:val="15"/>
              </w:numPr>
              <w:rPr>
                <w:sz w:val="20"/>
                <w:szCs w:val="20"/>
              </w:rPr>
            </w:pPr>
            <w:r w:rsidRPr="00D22436">
              <w:rPr>
                <w:sz w:val="20"/>
                <w:szCs w:val="20"/>
              </w:rPr>
              <w:t>Feedback we received from patients told us they were treated as individuals, this included praise from a relative of an elderly patient who explained the GP treating her father was “one of the very few professionals that still talk to him and not me. This is so important … It shows a great amount of respect which we both value greatly.”</w:t>
            </w:r>
          </w:p>
          <w:p w14:paraId="32E92D51" w14:textId="77777777" w:rsidR="00963CCE" w:rsidRDefault="00963CCE" w:rsidP="000E14D2">
            <w:pPr>
              <w:pStyle w:val="ListParagraph"/>
              <w:numPr>
                <w:ilvl w:val="0"/>
                <w:numId w:val="15"/>
              </w:numPr>
              <w:rPr>
                <w:sz w:val="20"/>
                <w:szCs w:val="20"/>
              </w:rPr>
            </w:pPr>
            <w:r w:rsidRPr="00963CCE">
              <w:rPr>
                <w:sz w:val="20"/>
                <w:szCs w:val="20"/>
              </w:rPr>
              <w:t>Staff told us they were currently focusing on the identification of young carers and were utilising their close working relationship with a local high school and college. One of the care co-ordinators had met with the deputy head teacher as part of this endeavour. One of the GPs had done a talk at a local college on careers in medicine with the students, and the subject of young carers was also discussed. Following our assessment, the practice had a arranged another event at the local high school for a GP and the PPG chairman to talk to the children about identifying young carers and the support the practice can offer to them.</w:t>
            </w:r>
            <w:r w:rsidR="00DB7294">
              <w:rPr>
                <w:sz w:val="20"/>
                <w:szCs w:val="20"/>
              </w:rPr>
              <w:t xml:space="preserve"> </w:t>
            </w:r>
            <w:r w:rsidR="00DB7294" w:rsidRPr="00DB7294">
              <w:rPr>
                <w:sz w:val="20"/>
                <w:szCs w:val="20"/>
              </w:rPr>
              <w:t xml:space="preserve">As a result of all these initiatives, there had been a 25% increase in the number of patients identified and coded on the clinical system as a </w:t>
            </w:r>
            <w:proofErr w:type="spellStart"/>
            <w:r w:rsidR="00DB7294" w:rsidRPr="00DB7294">
              <w:rPr>
                <w:sz w:val="20"/>
                <w:szCs w:val="20"/>
              </w:rPr>
              <w:t>carer</w:t>
            </w:r>
            <w:proofErr w:type="spellEnd"/>
            <w:r w:rsidR="00DB7294" w:rsidRPr="00DB7294">
              <w:rPr>
                <w:sz w:val="20"/>
                <w:szCs w:val="20"/>
              </w:rPr>
              <w:t>, in the last 12 months.</w:t>
            </w:r>
          </w:p>
          <w:p w14:paraId="314D543D" w14:textId="77777777" w:rsidR="00917585" w:rsidRDefault="00917585" w:rsidP="000E14D2">
            <w:pPr>
              <w:pStyle w:val="ListParagraph"/>
              <w:numPr>
                <w:ilvl w:val="0"/>
                <w:numId w:val="15"/>
              </w:numPr>
              <w:rPr>
                <w:sz w:val="20"/>
                <w:szCs w:val="20"/>
              </w:rPr>
            </w:pPr>
            <w:r w:rsidRPr="00917585">
              <w:rPr>
                <w:sz w:val="20"/>
                <w:szCs w:val="20"/>
              </w:rPr>
              <w:t>Social prescribing referrals were made proactively from consultations, and we saw evidence of these services being promoted in the waiting area. Examples included Men’s Shed, food banks, food vouchers, ‘Live Well’ multidisciplinary holistic support services at DHC Federation, breastfeeding support groups, menopause services, and Mary Frances Trust for mental health. The practice also supported combating period poverty.</w:t>
            </w:r>
          </w:p>
          <w:p w14:paraId="70732B9B" w14:textId="298A84B3" w:rsidR="00B91644" w:rsidRPr="00571085" w:rsidRDefault="00B91644" w:rsidP="000E14D2">
            <w:pPr>
              <w:pStyle w:val="ListParagraph"/>
              <w:numPr>
                <w:ilvl w:val="0"/>
                <w:numId w:val="15"/>
              </w:numPr>
              <w:rPr>
                <w:sz w:val="20"/>
                <w:szCs w:val="20"/>
              </w:rPr>
            </w:pPr>
            <w:r w:rsidRPr="00B91644">
              <w:rPr>
                <w:sz w:val="20"/>
                <w:szCs w:val="20"/>
              </w:rPr>
              <w:t>The practice used the Professionalism and Cultural Transformation toolkit to allow staff to provide anonymous feedback on culture and values. The outcome of this exercise confirmed that staff felt the practice had excellent patient care, was focused on safety, and had a caring culture. It also identified areas for improvement, including the need to refresh the mission statement and values.</w:t>
            </w:r>
          </w:p>
        </w:tc>
      </w:tr>
      <w:tr w:rsidR="000E14D2" w14:paraId="59A102FB" w14:textId="77777777" w:rsidTr="00D40967">
        <w:tc>
          <w:tcPr>
            <w:tcW w:w="4395" w:type="dxa"/>
            <w:shd w:val="clear" w:color="auto" w:fill="D86DCB" w:themeFill="accent5" w:themeFillTint="99"/>
          </w:tcPr>
          <w:p w14:paraId="52DE40A1" w14:textId="77777777" w:rsidR="000E14D2" w:rsidRPr="00083D22" w:rsidRDefault="000E14D2" w:rsidP="00D40967">
            <w:pPr>
              <w:rPr>
                <w:b/>
                <w:bCs/>
              </w:rPr>
            </w:pPr>
            <w:r w:rsidRPr="00083D22">
              <w:rPr>
                <w:b/>
                <w:bCs/>
              </w:rPr>
              <w:t>RESPONSIVE</w:t>
            </w:r>
          </w:p>
        </w:tc>
        <w:tc>
          <w:tcPr>
            <w:tcW w:w="10773" w:type="dxa"/>
          </w:tcPr>
          <w:p w14:paraId="3362353C" w14:textId="77777777" w:rsidR="000E14D2" w:rsidRPr="00571085" w:rsidRDefault="000E14D2" w:rsidP="00D40967">
            <w:pPr>
              <w:rPr>
                <w:sz w:val="20"/>
                <w:szCs w:val="20"/>
              </w:rPr>
            </w:pPr>
          </w:p>
        </w:tc>
      </w:tr>
      <w:tr w:rsidR="000E14D2" w14:paraId="0ED4F387" w14:textId="77777777" w:rsidTr="00D40967">
        <w:tc>
          <w:tcPr>
            <w:tcW w:w="4395" w:type="dxa"/>
            <w:shd w:val="clear" w:color="auto" w:fill="F2CEED" w:themeFill="accent5" w:themeFillTint="33"/>
          </w:tcPr>
          <w:p w14:paraId="500FDF22" w14:textId="77777777" w:rsidR="000E14D2" w:rsidRPr="00BD15EE" w:rsidRDefault="000E14D2" w:rsidP="00D40967">
            <w:r w:rsidRPr="00CD63BB">
              <w:t>Care provision, Integration and continuity</w:t>
            </w:r>
          </w:p>
        </w:tc>
        <w:tc>
          <w:tcPr>
            <w:tcW w:w="10773" w:type="dxa"/>
          </w:tcPr>
          <w:p w14:paraId="0BEFEFF3" w14:textId="382985BE" w:rsidR="000E14D2" w:rsidRPr="00571085" w:rsidRDefault="00EA071A" w:rsidP="003A5337">
            <w:pPr>
              <w:pStyle w:val="ListParagraph"/>
              <w:numPr>
                <w:ilvl w:val="0"/>
                <w:numId w:val="15"/>
              </w:numPr>
              <w:rPr>
                <w:sz w:val="20"/>
                <w:szCs w:val="20"/>
              </w:rPr>
            </w:pPr>
            <w:r w:rsidRPr="00EA071A">
              <w:rPr>
                <w:sz w:val="20"/>
                <w:szCs w:val="20"/>
              </w:rPr>
              <w:t>The practice had identified that 4% of the practice population was using 20% of the appointments offered. Analysis of this group was used to create a flag on the patient record and this group of patients (around 244), when requesting an appointment were offered a 20-minute appointment booked with their usual GP for continuity of care. These consultations were structured to provide a holistic review using a frequent attender template, which also prompted consideration of wider referrals. For example, referrals to the DHC Live Well service, incorporating social prescribers, health and wellbeing coaching, and mental health support through DHC NHS Talking Therapies and GP Integrated Mental Health Service (</w:t>
            </w:r>
            <w:proofErr w:type="spellStart"/>
            <w:r w:rsidRPr="00EA071A">
              <w:rPr>
                <w:sz w:val="20"/>
                <w:szCs w:val="20"/>
              </w:rPr>
              <w:t>GPiMHS</w:t>
            </w:r>
            <w:proofErr w:type="spellEnd"/>
            <w:r w:rsidRPr="00EA071A">
              <w:rPr>
                <w:sz w:val="20"/>
                <w:szCs w:val="20"/>
              </w:rPr>
              <w:t>). At the end of the consultation, a further review appointment could be scheduled (usually at 4–6 weeks) to reduce the frequency of unscheduled presentations. An audit had been completed from 1 May to 1 July 2025, with follow-up data to 1 August 2025. The audit demonstrated that more than half of patients seen had no further consultations in the subsequent two months, indicating a reduction in recurrent attendance.</w:t>
            </w:r>
          </w:p>
        </w:tc>
      </w:tr>
      <w:tr w:rsidR="000E14D2" w14:paraId="14423F39" w14:textId="77777777" w:rsidTr="00D40967">
        <w:tc>
          <w:tcPr>
            <w:tcW w:w="4395" w:type="dxa"/>
            <w:shd w:val="clear" w:color="auto" w:fill="F2CEED" w:themeFill="accent5" w:themeFillTint="33"/>
          </w:tcPr>
          <w:p w14:paraId="1A8F4901" w14:textId="77777777" w:rsidR="000E14D2" w:rsidRPr="00BD15EE" w:rsidRDefault="000E14D2" w:rsidP="00D40967">
            <w:r w:rsidRPr="00CD63BB">
              <w:t>Providing Information</w:t>
            </w:r>
          </w:p>
        </w:tc>
        <w:tc>
          <w:tcPr>
            <w:tcW w:w="10773" w:type="dxa"/>
          </w:tcPr>
          <w:p w14:paraId="3116BDB3" w14:textId="77777777" w:rsidR="000E14D2" w:rsidRDefault="000533B9" w:rsidP="000E14D2">
            <w:pPr>
              <w:pStyle w:val="ListParagraph"/>
              <w:numPr>
                <w:ilvl w:val="0"/>
                <w:numId w:val="15"/>
              </w:numPr>
              <w:rPr>
                <w:sz w:val="20"/>
                <w:szCs w:val="20"/>
              </w:rPr>
            </w:pPr>
            <w:r w:rsidRPr="000533B9">
              <w:rPr>
                <w:sz w:val="20"/>
                <w:szCs w:val="20"/>
              </w:rPr>
              <w:t>The practice operated a fully computerised pathology lab system and staff utilised ‘</w:t>
            </w:r>
            <w:proofErr w:type="spellStart"/>
            <w:r w:rsidRPr="000533B9">
              <w:rPr>
                <w:sz w:val="20"/>
                <w:szCs w:val="20"/>
              </w:rPr>
              <w:t>Healthshare</w:t>
            </w:r>
            <w:proofErr w:type="spellEnd"/>
            <w:r w:rsidRPr="000533B9">
              <w:rPr>
                <w:sz w:val="20"/>
                <w:szCs w:val="20"/>
              </w:rPr>
              <w:t>’ software to access hospital data. Leaders told us they had upgraded the practice website, and a bi-monthly newsletter was produced for patients with a range of health information.</w:t>
            </w:r>
          </w:p>
          <w:p w14:paraId="6EE9A3EA" w14:textId="004E90AF" w:rsidR="000533B9" w:rsidRPr="00571085" w:rsidRDefault="000533B9" w:rsidP="000E14D2">
            <w:pPr>
              <w:pStyle w:val="ListParagraph"/>
              <w:numPr>
                <w:ilvl w:val="0"/>
                <w:numId w:val="15"/>
              </w:numPr>
              <w:rPr>
                <w:sz w:val="20"/>
                <w:szCs w:val="20"/>
              </w:rPr>
            </w:pPr>
            <w:r w:rsidRPr="000533B9">
              <w:rPr>
                <w:sz w:val="20"/>
                <w:szCs w:val="20"/>
              </w:rPr>
              <w:t xml:space="preserve">The practice had collaborated with the headteacher of a local sixth form college to provide information for students regarding careers in medicine. The practice </w:t>
            </w:r>
            <w:proofErr w:type="gramStart"/>
            <w:r w:rsidRPr="000533B9">
              <w:rPr>
                <w:sz w:val="20"/>
                <w:szCs w:val="20"/>
              </w:rPr>
              <w:t>made arrangements</w:t>
            </w:r>
            <w:proofErr w:type="gramEnd"/>
            <w:r w:rsidRPr="000533B9">
              <w:rPr>
                <w:sz w:val="20"/>
                <w:szCs w:val="20"/>
              </w:rPr>
              <w:t xml:space="preserve"> for one of the GPs to attend the college for a morning to give a presentation to students. The presentation included why she chose a career in medicine and a role as a GP; what a typical working day and week looked like and information about post-university training. As part of this initiative, the practice offered work placements for students who were considering a career in medicine.</w:t>
            </w:r>
          </w:p>
        </w:tc>
      </w:tr>
      <w:tr w:rsidR="000E14D2" w14:paraId="02CF0400" w14:textId="77777777" w:rsidTr="00D40967">
        <w:tc>
          <w:tcPr>
            <w:tcW w:w="4395" w:type="dxa"/>
            <w:shd w:val="clear" w:color="auto" w:fill="F2CEED" w:themeFill="accent5" w:themeFillTint="33"/>
          </w:tcPr>
          <w:p w14:paraId="2D25F198" w14:textId="77777777" w:rsidR="000E14D2" w:rsidRPr="00BD15EE" w:rsidRDefault="000E14D2" w:rsidP="00D40967">
            <w:r w:rsidRPr="00CD63BB">
              <w:t>Equity in access</w:t>
            </w:r>
          </w:p>
        </w:tc>
        <w:tc>
          <w:tcPr>
            <w:tcW w:w="10773" w:type="dxa"/>
          </w:tcPr>
          <w:p w14:paraId="330B925A" w14:textId="77777777" w:rsidR="001D7CD0" w:rsidRDefault="00D82FC5" w:rsidP="000E14D2">
            <w:pPr>
              <w:pStyle w:val="ListParagraph"/>
              <w:numPr>
                <w:ilvl w:val="0"/>
                <w:numId w:val="17"/>
              </w:numPr>
              <w:rPr>
                <w:sz w:val="20"/>
                <w:szCs w:val="20"/>
              </w:rPr>
            </w:pPr>
            <w:r w:rsidRPr="00D82FC5">
              <w:rPr>
                <w:sz w:val="20"/>
                <w:szCs w:val="20"/>
              </w:rPr>
              <w:t>Staff explained there was a four-week rota so GPs could book their own follow up appointments before a patient appointment finishes. Staff said this was crucial for continuity of care and patients found this very reassuring and convenient for them.</w:t>
            </w:r>
          </w:p>
          <w:p w14:paraId="491C4B00" w14:textId="77777777" w:rsidR="00B76F0F" w:rsidRDefault="00B76F0F" w:rsidP="000E14D2">
            <w:pPr>
              <w:pStyle w:val="ListParagraph"/>
              <w:numPr>
                <w:ilvl w:val="0"/>
                <w:numId w:val="17"/>
              </w:numPr>
              <w:rPr>
                <w:sz w:val="20"/>
                <w:szCs w:val="20"/>
              </w:rPr>
            </w:pPr>
            <w:r w:rsidRPr="00B76F0F">
              <w:rPr>
                <w:sz w:val="20"/>
                <w:szCs w:val="20"/>
              </w:rPr>
              <w:t>‘Extended Access’ appointments were also available for patients within the practice, outside of the core hours. Leaders explained that extended access appointments were previously provided by the GP Federation and patients were having to travel to other places and practices for these appointments. The practice surveyed their patients and found patients would prefer appointments with a GP they knew at their own practice. In response to this feedback, the practice started offering their own extended access appointments this year.</w:t>
            </w:r>
          </w:p>
          <w:p w14:paraId="0B300FF7" w14:textId="77777777" w:rsidR="00454ADE" w:rsidRDefault="00454ADE" w:rsidP="000E14D2">
            <w:pPr>
              <w:pStyle w:val="ListParagraph"/>
              <w:numPr>
                <w:ilvl w:val="0"/>
                <w:numId w:val="17"/>
              </w:numPr>
              <w:rPr>
                <w:sz w:val="20"/>
                <w:szCs w:val="20"/>
              </w:rPr>
            </w:pPr>
            <w:r w:rsidRPr="00454ADE">
              <w:rPr>
                <w:sz w:val="20"/>
                <w:szCs w:val="20"/>
              </w:rPr>
              <w:t>The practice had 3 members of staff who are NHS App ambassadors that champion the NHS App and provide guidance and support for patients. The practice also worked with the PPG to identify patients who did not have the NHS App and would like help setting it up during a ‘PPG Awareness Week’ which was organised in the practice. A self-help QR code poster had also been displayed in the practice to assist patients with the NHS App.</w:t>
            </w:r>
          </w:p>
          <w:p w14:paraId="0B381D77" w14:textId="4F8CEFF3" w:rsidR="00115570" w:rsidRPr="00571085" w:rsidRDefault="00115570" w:rsidP="000E14D2">
            <w:pPr>
              <w:pStyle w:val="ListParagraph"/>
              <w:numPr>
                <w:ilvl w:val="0"/>
                <w:numId w:val="17"/>
              </w:numPr>
              <w:rPr>
                <w:sz w:val="20"/>
                <w:szCs w:val="20"/>
              </w:rPr>
            </w:pPr>
            <w:r w:rsidRPr="00115570">
              <w:rPr>
                <w:sz w:val="20"/>
                <w:szCs w:val="20"/>
              </w:rPr>
              <w:t xml:space="preserve">Patients could access pre-bookable appointments at extended hours on Tuesday, Wednesday, and Thursday until 8pm. Patients could also be booked in extended access appointments which was provided through </w:t>
            </w:r>
            <w:r>
              <w:rPr>
                <w:sz w:val="20"/>
                <w:szCs w:val="20"/>
              </w:rPr>
              <w:t xml:space="preserve">the </w:t>
            </w:r>
            <w:r w:rsidRPr="00115570">
              <w:rPr>
                <w:sz w:val="20"/>
                <w:szCs w:val="20"/>
              </w:rPr>
              <w:t>PCN, in the evenings during weekdays or on Saturdays.</w:t>
            </w:r>
          </w:p>
        </w:tc>
      </w:tr>
      <w:tr w:rsidR="000E14D2" w14:paraId="62AFBE08" w14:textId="77777777" w:rsidTr="00D40967">
        <w:tc>
          <w:tcPr>
            <w:tcW w:w="4395" w:type="dxa"/>
            <w:shd w:val="clear" w:color="auto" w:fill="F2CEED" w:themeFill="accent5" w:themeFillTint="33"/>
          </w:tcPr>
          <w:p w14:paraId="5AD91617" w14:textId="77777777" w:rsidR="000E14D2" w:rsidRPr="00BD15EE" w:rsidRDefault="000E14D2" w:rsidP="00D40967">
            <w:r w:rsidRPr="00CD63BB">
              <w:t>Equity in experiences and outcomes</w:t>
            </w:r>
          </w:p>
        </w:tc>
        <w:tc>
          <w:tcPr>
            <w:tcW w:w="10773" w:type="dxa"/>
          </w:tcPr>
          <w:p w14:paraId="5904D5F2" w14:textId="77777777" w:rsidR="000E14D2" w:rsidRDefault="00454ADE" w:rsidP="00AC4FF1">
            <w:pPr>
              <w:pStyle w:val="ListParagraph"/>
              <w:numPr>
                <w:ilvl w:val="0"/>
                <w:numId w:val="26"/>
              </w:numPr>
              <w:rPr>
                <w:sz w:val="20"/>
                <w:szCs w:val="20"/>
              </w:rPr>
            </w:pPr>
            <w:r>
              <w:rPr>
                <w:sz w:val="20"/>
                <w:szCs w:val="20"/>
              </w:rPr>
              <w:t>T</w:t>
            </w:r>
            <w:r w:rsidRPr="00454ADE">
              <w:rPr>
                <w:sz w:val="20"/>
                <w:szCs w:val="20"/>
              </w:rPr>
              <w:t>he practice had established an excellent rapport with local farms who employed mainly overseas workers seasonally. Staff told us that during the COVID 19 pandemic, practice staff went out to the farms to vaccinate the workers which was approximately 700 people.</w:t>
            </w:r>
          </w:p>
          <w:p w14:paraId="4190DE17" w14:textId="77777777" w:rsidR="00162CBB" w:rsidRDefault="00162CBB" w:rsidP="00AC4FF1">
            <w:pPr>
              <w:pStyle w:val="ListParagraph"/>
              <w:numPr>
                <w:ilvl w:val="0"/>
                <w:numId w:val="26"/>
              </w:numPr>
              <w:rPr>
                <w:sz w:val="20"/>
                <w:szCs w:val="20"/>
              </w:rPr>
            </w:pPr>
            <w:r w:rsidRPr="00162CBB">
              <w:rPr>
                <w:sz w:val="20"/>
                <w:szCs w:val="20"/>
              </w:rPr>
              <w:t>To care for their migrant worker patient population, staff explained that for workers already on medications from their previous country or practice, they were registered expediently so there was not a delay in their healthcare. Non-</w:t>
            </w:r>
            <w:proofErr w:type="gramStart"/>
            <w:r w:rsidRPr="00162CBB">
              <w:rPr>
                <w:sz w:val="20"/>
                <w:szCs w:val="20"/>
              </w:rPr>
              <w:t>English speaking</w:t>
            </w:r>
            <w:proofErr w:type="gramEnd"/>
            <w:r w:rsidRPr="00162CBB">
              <w:rPr>
                <w:sz w:val="20"/>
                <w:szCs w:val="20"/>
              </w:rPr>
              <w:t xml:space="preserve"> patients were highlighted on the clinical system that they required a translator which the practice provided and double appointments were booked to allow extra time needed. On an annual basis, the practice met with the farm welfare officer to address any improvements that could be made to the service offered by the practice to the farm employees. In addition, the practice provided the farms including the mobile homes where the farm employees live with health education information such as posters and leaflets on alcohol, smoking and contraception. Staff told us their </w:t>
            </w:r>
            <w:proofErr w:type="gramStart"/>
            <w:r w:rsidRPr="00162CBB">
              <w:rPr>
                <w:sz w:val="20"/>
                <w:szCs w:val="20"/>
              </w:rPr>
              <w:t>future plans</w:t>
            </w:r>
            <w:proofErr w:type="gramEnd"/>
            <w:r w:rsidRPr="00162CBB">
              <w:rPr>
                <w:sz w:val="20"/>
                <w:szCs w:val="20"/>
              </w:rPr>
              <w:t xml:space="preserve"> to improve the care provided for the migrant workers. This included providing Saturday group clinics regarding women’s health, contraception and men’s health and providing translators to inform and educate workers on the healthcare that can be provided for them.</w:t>
            </w:r>
          </w:p>
          <w:p w14:paraId="63F2B2C7" w14:textId="77777777" w:rsidR="00162CBB" w:rsidRDefault="00162CBB" w:rsidP="00AC4FF1">
            <w:pPr>
              <w:pStyle w:val="ListParagraph"/>
              <w:numPr>
                <w:ilvl w:val="0"/>
                <w:numId w:val="26"/>
              </w:numPr>
              <w:rPr>
                <w:sz w:val="20"/>
                <w:szCs w:val="20"/>
              </w:rPr>
            </w:pPr>
            <w:r w:rsidRPr="00162CBB">
              <w:rPr>
                <w:sz w:val="20"/>
                <w:szCs w:val="20"/>
              </w:rPr>
              <w:t>The GP worked closely with the PCN care home nurse and provided regular mentoring sessions. At the elderly care home, a ‘professional’s lunch’ was held monthly, and a member of the practice attended to have lunch with the staff and residents.</w:t>
            </w:r>
          </w:p>
          <w:p w14:paraId="624FDF52" w14:textId="77777777" w:rsidR="000678FB" w:rsidRDefault="000678FB" w:rsidP="00AC4FF1">
            <w:pPr>
              <w:pStyle w:val="ListParagraph"/>
              <w:numPr>
                <w:ilvl w:val="0"/>
                <w:numId w:val="26"/>
              </w:numPr>
              <w:rPr>
                <w:sz w:val="20"/>
                <w:szCs w:val="20"/>
              </w:rPr>
            </w:pPr>
            <w:r>
              <w:rPr>
                <w:sz w:val="20"/>
                <w:szCs w:val="20"/>
              </w:rPr>
              <w:t>T</w:t>
            </w:r>
            <w:r w:rsidRPr="000678FB">
              <w:rPr>
                <w:sz w:val="20"/>
                <w:szCs w:val="20"/>
              </w:rPr>
              <w:t>he primary care practitioner also visited patients who were back home after a prolonged admission to hospital and did a welfare check to see how they were coping. Staff told us this role was not funded or offered by any other GP practice in</w:t>
            </w:r>
            <w:r>
              <w:rPr>
                <w:sz w:val="20"/>
                <w:szCs w:val="20"/>
              </w:rPr>
              <w:t xml:space="preserve"> the county.</w:t>
            </w:r>
          </w:p>
          <w:p w14:paraId="553162FF" w14:textId="39DFCD45" w:rsidR="004F4C75" w:rsidRPr="00571085" w:rsidRDefault="004F4C75" w:rsidP="00AC4FF1">
            <w:pPr>
              <w:pStyle w:val="ListParagraph"/>
              <w:numPr>
                <w:ilvl w:val="0"/>
                <w:numId w:val="26"/>
              </w:numPr>
              <w:rPr>
                <w:sz w:val="20"/>
                <w:szCs w:val="20"/>
              </w:rPr>
            </w:pPr>
            <w:r w:rsidRPr="004F4C75">
              <w:rPr>
                <w:sz w:val="20"/>
                <w:szCs w:val="20"/>
              </w:rPr>
              <w:t>leaders had asked the sensory friendly environment team for Hereford and Worcester to visit the practice and provide advice on how they could become sensory friendly. We observed a designated area set back from the waiting room with a privacy screen which had a sensory box containing emotion fans, and toys. Staff told us this provision had been positively received by patients and gave us an example of how this had positively impacted a child patient who was experiencing sensory overload in the waiting area. In addition, all staff had received Oliver McGowan training to improve the care of autistic people and people with a learning disability.</w:t>
            </w:r>
          </w:p>
        </w:tc>
      </w:tr>
      <w:tr w:rsidR="00FA2E29" w14:paraId="0E796E36" w14:textId="77777777" w:rsidTr="00D40967">
        <w:tc>
          <w:tcPr>
            <w:tcW w:w="4395" w:type="dxa"/>
            <w:shd w:val="clear" w:color="auto" w:fill="F2CEED" w:themeFill="accent5" w:themeFillTint="33"/>
          </w:tcPr>
          <w:p w14:paraId="0A83C241" w14:textId="599F11F7" w:rsidR="00FA2E29" w:rsidRPr="00CD63BB" w:rsidRDefault="00FA2E29" w:rsidP="00D40967">
            <w:r>
              <w:t>Person-centred care</w:t>
            </w:r>
          </w:p>
        </w:tc>
        <w:tc>
          <w:tcPr>
            <w:tcW w:w="10773" w:type="dxa"/>
          </w:tcPr>
          <w:p w14:paraId="7BBFF726" w14:textId="61FD7800" w:rsidR="00FA2E29" w:rsidRDefault="00FA2E29" w:rsidP="00AC4FF1">
            <w:pPr>
              <w:pStyle w:val="ListParagraph"/>
              <w:numPr>
                <w:ilvl w:val="0"/>
                <w:numId w:val="26"/>
              </w:numPr>
              <w:rPr>
                <w:sz w:val="20"/>
                <w:szCs w:val="20"/>
              </w:rPr>
            </w:pPr>
            <w:r>
              <w:rPr>
                <w:sz w:val="20"/>
                <w:szCs w:val="20"/>
              </w:rPr>
              <w:t>P</w:t>
            </w:r>
            <w:r w:rsidRPr="00FA2E29">
              <w:rPr>
                <w:sz w:val="20"/>
                <w:szCs w:val="20"/>
              </w:rPr>
              <w:t>atients who were blind or hard of hearing were collected from the waiting room by the clinicians and a hearing loop was installed at reception. Autistic people or people with learning disabilities were offered a quiet place to wait for appointments.</w:t>
            </w:r>
          </w:p>
        </w:tc>
      </w:tr>
      <w:tr w:rsidR="00D80E45" w14:paraId="18440811" w14:textId="77777777" w:rsidTr="00D40967">
        <w:tc>
          <w:tcPr>
            <w:tcW w:w="4395" w:type="dxa"/>
            <w:shd w:val="clear" w:color="auto" w:fill="F2CEED" w:themeFill="accent5" w:themeFillTint="33"/>
          </w:tcPr>
          <w:p w14:paraId="306864B5" w14:textId="5220C01E" w:rsidR="00D80E45" w:rsidRDefault="00D80E45" w:rsidP="00D40967">
            <w:proofErr w:type="gramStart"/>
            <w:r>
              <w:t>Planning for the future</w:t>
            </w:r>
            <w:proofErr w:type="gramEnd"/>
          </w:p>
        </w:tc>
        <w:tc>
          <w:tcPr>
            <w:tcW w:w="10773" w:type="dxa"/>
          </w:tcPr>
          <w:p w14:paraId="2FEC534A" w14:textId="0584C58A" w:rsidR="00D80E45" w:rsidRDefault="00122DD3" w:rsidP="00AC4FF1">
            <w:pPr>
              <w:pStyle w:val="ListParagraph"/>
              <w:numPr>
                <w:ilvl w:val="0"/>
                <w:numId w:val="26"/>
              </w:numPr>
              <w:rPr>
                <w:sz w:val="20"/>
                <w:szCs w:val="20"/>
              </w:rPr>
            </w:pPr>
            <w:r w:rsidRPr="00122DD3">
              <w:rPr>
                <w:sz w:val="20"/>
                <w:szCs w:val="20"/>
              </w:rPr>
              <w:t>The practice had conducted an analysis on patients’ passing away from January 2025 to June 2025. This reviewed the total number of deaths, the proportion of patients who were receiving care in line with the Gold Standard Framework (</w:t>
            </w:r>
            <w:proofErr w:type="spellStart"/>
            <w:r w:rsidRPr="00122DD3">
              <w:rPr>
                <w:sz w:val="20"/>
                <w:szCs w:val="20"/>
              </w:rPr>
              <w:t>GSF</w:t>
            </w:r>
            <w:proofErr w:type="spellEnd"/>
            <w:r w:rsidRPr="00122DD3">
              <w:rPr>
                <w:sz w:val="20"/>
                <w:szCs w:val="20"/>
              </w:rPr>
              <w:t>) register or were in a nursing/residential homes</w:t>
            </w:r>
            <w:r>
              <w:rPr>
                <w:sz w:val="20"/>
                <w:szCs w:val="20"/>
              </w:rPr>
              <w:t xml:space="preserve">. </w:t>
            </w:r>
            <w:r w:rsidRPr="00122DD3">
              <w:rPr>
                <w:sz w:val="20"/>
                <w:szCs w:val="20"/>
              </w:rPr>
              <w:t xml:space="preserve">The audit reviewed the proportion achieving their preferred place of death, </w:t>
            </w:r>
            <w:proofErr w:type="spellStart"/>
            <w:r w:rsidRPr="00122DD3">
              <w:rPr>
                <w:sz w:val="20"/>
                <w:szCs w:val="20"/>
              </w:rPr>
              <w:t>DNAR</w:t>
            </w:r>
            <w:proofErr w:type="spellEnd"/>
            <w:r w:rsidRPr="00122DD3">
              <w:rPr>
                <w:sz w:val="20"/>
                <w:szCs w:val="20"/>
              </w:rPr>
              <w:t>/RESPECT completion rates and the reasons for non-completion (e.g. sudden deaths). Findings of the audit were reviewed by the practice and at PCN level</w:t>
            </w:r>
            <w:r>
              <w:rPr>
                <w:sz w:val="20"/>
                <w:szCs w:val="20"/>
              </w:rPr>
              <w:t xml:space="preserve">. </w:t>
            </w:r>
            <w:r w:rsidRPr="00122DD3">
              <w:rPr>
                <w:sz w:val="20"/>
                <w:szCs w:val="20"/>
              </w:rPr>
              <w:t>The local hospice also conducted a similar audit which was shared with the practice and was used to help benchmarking.</w:t>
            </w:r>
          </w:p>
        </w:tc>
      </w:tr>
      <w:tr w:rsidR="000E14D2" w14:paraId="4F07B679" w14:textId="77777777" w:rsidTr="00D40967">
        <w:tc>
          <w:tcPr>
            <w:tcW w:w="4395" w:type="dxa"/>
            <w:shd w:val="clear" w:color="auto" w:fill="747474" w:themeFill="background2" w:themeFillShade="80"/>
          </w:tcPr>
          <w:p w14:paraId="1D91259C" w14:textId="77777777" w:rsidR="000E14D2" w:rsidRPr="0039766A" w:rsidRDefault="000E14D2" w:rsidP="00D40967">
            <w:pPr>
              <w:rPr>
                <w:b/>
                <w:bCs/>
              </w:rPr>
            </w:pPr>
            <w:r w:rsidRPr="0039766A">
              <w:rPr>
                <w:b/>
                <w:bCs/>
              </w:rPr>
              <w:t>WELL-LED</w:t>
            </w:r>
          </w:p>
        </w:tc>
        <w:tc>
          <w:tcPr>
            <w:tcW w:w="10773" w:type="dxa"/>
          </w:tcPr>
          <w:p w14:paraId="645C9687" w14:textId="77777777" w:rsidR="000E14D2" w:rsidRPr="00571085" w:rsidRDefault="000E14D2" w:rsidP="00D40967">
            <w:pPr>
              <w:rPr>
                <w:sz w:val="20"/>
                <w:szCs w:val="20"/>
              </w:rPr>
            </w:pPr>
          </w:p>
        </w:tc>
      </w:tr>
      <w:tr w:rsidR="000E14D2" w14:paraId="24970CCB" w14:textId="77777777" w:rsidTr="00D40967">
        <w:tc>
          <w:tcPr>
            <w:tcW w:w="4395" w:type="dxa"/>
            <w:shd w:val="clear" w:color="auto" w:fill="D1D1D1" w:themeFill="background2" w:themeFillShade="E6"/>
          </w:tcPr>
          <w:p w14:paraId="75F01C57" w14:textId="77777777" w:rsidR="000E14D2" w:rsidRPr="00CD63BB" w:rsidRDefault="000E14D2" w:rsidP="00D40967">
            <w:r w:rsidRPr="00326FE0">
              <w:t>Shared direction and culture</w:t>
            </w:r>
          </w:p>
        </w:tc>
        <w:tc>
          <w:tcPr>
            <w:tcW w:w="10773" w:type="dxa"/>
          </w:tcPr>
          <w:p w14:paraId="7B4BC37A" w14:textId="3EB3D298" w:rsidR="000E14D2" w:rsidRPr="00571085" w:rsidRDefault="003F1597" w:rsidP="004B2015">
            <w:pPr>
              <w:pStyle w:val="ListParagraph"/>
              <w:numPr>
                <w:ilvl w:val="0"/>
                <w:numId w:val="23"/>
              </w:numPr>
              <w:rPr>
                <w:sz w:val="20"/>
                <w:szCs w:val="20"/>
              </w:rPr>
            </w:pPr>
            <w:r w:rsidRPr="003F1597">
              <w:rPr>
                <w:sz w:val="20"/>
                <w:szCs w:val="20"/>
              </w:rPr>
              <w:t>All staff members were involved in shaping the new vision and values through Protected Learning Time (PLT) workshops and multi-disciplinary team (</w:t>
            </w:r>
            <w:proofErr w:type="spellStart"/>
            <w:r w:rsidRPr="003F1597">
              <w:rPr>
                <w:sz w:val="20"/>
                <w:szCs w:val="20"/>
              </w:rPr>
              <w:t>MTD</w:t>
            </w:r>
            <w:proofErr w:type="spellEnd"/>
            <w:r w:rsidRPr="003F1597">
              <w:rPr>
                <w:sz w:val="20"/>
                <w:szCs w:val="20"/>
              </w:rPr>
              <w:t>) discussions, with final proposals agreed collaboratively. The vision and values were developed from a Professionalism and Cultural Transformation toolkit which gave staff the opportunity to provide anonymous feedback. We saw results from the workshop and MDT meeting and noted that actions were also recorded on the practice development plan strategy.</w:t>
            </w:r>
          </w:p>
        </w:tc>
      </w:tr>
      <w:tr w:rsidR="000E14D2" w14:paraId="1B5DF30D" w14:textId="77777777" w:rsidTr="00D40967">
        <w:tc>
          <w:tcPr>
            <w:tcW w:w="4395" w:type="dxa"/>
            <w:shd w:val="clear" w:color="auto" w:fill="D1D1D1" w:themeFill="background2" w:themeFillShade="E6"/>
          </w:tcPr>
          <w:p w14:paraId="51D289C2" w14:textId="77777777" w:rsidR="000E14D2" w:rsidRPr="00CD63BB" w:rsidRDefault="000E14D2" w:rsidP="00D40967">
            <w:r w:rsidRPr="00326FE0">
              <w:t>Capable, compassionate and inclusive leaders</w:t>
            </w:r>
          </w:p>
        </w:tc>
        <w:tc>
          <w:tcPr>
            <w:tcW w:w="10773" w:type="dxa"/>
          </w:tcPr>
          <w:p w14:paraId="16F3A06B" w14:textId="7C8598CA" w:rsidR="000E14D2" w:rsidRPr="00571085" w:rsidRDefault="003870A8" w:rsidP="00571085">
            <w:pPr>
              <w:pStyle w:val="ListParagraph"/>
              <w:numPr>
                <w:ilvl w:val="0"/>
                <w:numId w:val="19"/>
              </w:numPr>
              <w:rPr>
                <w:sz w:val="20"/>
                <w:szCs w:val="20"/>
              </w:rPr>
            </w:pPr>
            <w:r w:rsidRPr="003870A8">
              <w:rPr>
                <w:sz w:val="20"/>
                <w:szCs w:val="20"/>
              </w:rPr>
              <w:t>Feedback received showed that staff wanted to feel more valued and recognised. In response the leaders revised the existing approach of rewarding staff through Going the Extra Mile scheme and created a recognition of long service and team achievements.</w:t>
            </w:r>
          </w:p>
        </w:tc>
      </w:tr>
      <w:tr w:rsidR="000E14D2" w14:paraId="596055AC" w14:textId="77777777" w:rsidTr="00D40967">
        <w:tc>
          <w:tcPr>
            <w:tcW w:w="4395" w:type="dxa"/>
            <w:shd w:val="clear" w:color="auto" w:fill="D1D1D1" w:themeFill="background2" w:themeFillShade="E6"/>
          </w:tcPr>
          <w:p w14:paraId="54B06368" w14:textId="77777777" w:rsidR="000E14D2" w:rsidRPr="00CD63BB" w:rsidRDefault="000E14D2" w:rsidP="00D40967">
            <w:r w:rsidRPr="00326FE0">
              <w:t>Governance, management and sustainability</w:t>
            </w:r>
          </w:p>
        </w:tc>
        <w:tc>
          <w:tcPr>
            <w:tcW w:w="10773" w:type="dxa"/>
          </w:tcPr>
          <w:p w14:paraId="65DC8ED4" w14:textId="19C3E672" w:rsidR="00F72669" w:rsidRPr="00571085" w:rsidRDefault="00873E13" w:rsidP="00F72669">
            <w:pPr>
              <w:pStyle w:val="ListParagraph"/>
              <w:numPr>
                <w:ilvl w:val="0"/>
                <w:numId w:val="20"/>
              </w:numPr>
              <w:rPr>
                <w:sz w:val="20"/>
                <w:szCs w:val="20"/>
              </w:rPr>
            </w:pPr>
            <w:r w:rsidRPr="00873E13">
              <w:rPr>
                <w:sz w:val="20"/>
                <w:szCs w:val="20"/>
              </w:rPr>
              <w:t>Strategic progress was formally governed by the Practice Development Plan Strategy 2025–2028. This plan was regularly updated following partnership meetings, Multi-Disciplinary Team (MDT) meetings, and various strategic sessions. A core component of this oversight was the review of risks and potential obstacles at each meeting, with all resulting actions formally documented and monitored within the plan. To ensure continued operational and cultural alignment, the mission statement, values, and vision were a standing agenda item for strategic meetings, meaning they remain relevant, and representative of the current practice culture. Progress was consistently cross-referenced with the 12-Month Business Plan and validated against external quality benchmarks, including the Quality and Outcomes Framework (</w:t>
            </w:r>
            <w:proofErr w:type="spellStart"/>
            <w:r w:rsidRPr="00873E13">
              <w:rPr>
                <w:sz w:val="20"/>
                <w:szCs w:val="20"/>
              </w:rPr>
              <w:t>QOF</w:t>
            </w:r>
            <w:proofErr w:type="spellEnd"/>
            <w:r w:rsidRPr="00873E13">
              <w:rPr>
                <w:sz w:val="20"/>
                <w:szCs w:val="20"/>
              </w:rPr>
              <w:t>), national patient survey data, and CQC quality standards. The strategy was also monitored against wider priorities, including the NHS 10-Year Plan and Core20PLUS5. (Core20PLUS5 is a national NHS England approach to inform action to reduce healthcare inequalities at both national and system level).</w:t>
            </w:r>
          </w:p>
        </w:tc>
      </w:tr>
      <w:tr w:rsidR="000E14D2" w14:paraId="35340E43" w14:textId="77777777" w:rsidTr="00D40967">
        <w:tc>
          <w:tcPr>
            <w:tcW w:w="4395" w:type="dxa"/>
            <w:shd w:val="clear" w:color="auto" w:fill="D1D1D1" w:themeFill="background2" w:themeFillShade="E6"/>
          </w:tcPr>
          <w:p w14:paraId="5FC38E96" w14:textId="77777777" w:rsidR="000E14D2" w:rsidRPr="00CD63BB" w:rsidRDefault="000E14D2" w:rsidP="00D40967">
            <w:r w:rsidRPr="00326FE0">
              <w:t>Partnerships and communities</w:t>
            </w:r>
          </w:p>
        </w:tc>
        <w:tc>
          <w:tcPr>
            <w:tcW w:w="10773" w:type="dxa"/>
          </w:tcPr>
          <w:p w14:paraId="4AAF4C30" w14:textId="7FA5AEB4" w:rsidR="00C369A4" w:rsidRPr="00C369A4" w:rsidRDefault="00C369A4" w:rsidP="00C369A4">
            <w:pPr>
              <w:pStyle w:val="ListParagraph"/>
              <w:numPr>
                <w:ilvl w:val="0"/>
                <w:numId w:val="20"/>
              </w:numPr>
              <w:rPr>
                <w:sz w:val="20"/>
                <w:szCs w:val="20"/>
              </w:rPr>
            </w:pPr>
            <w:r w:rsidRPr="00C369A4">
              <w:rPr>
                <w:sz w:val="20"/>
                <w:szCs w:val="20"/>
              </w:rPr>
              <w:t>The practice hosted a sixth form careers event for the PCN, giving students the opportunity to hear talks and gain experience if they were interested in pursuing a career in medicine, nursing, or allied health. Leaders told this event inspired the next generation of healthcare professionals and strengthened links with local schools and colleges.</w:t>
            </w:r>
          </w:p>
          <w:p w14:paraId="2D2ABE32" w14:textId="7E0A1A99" w:rsidR="00C369A4" w:rsidRPr="00C369A4" w:rsidRDefault="00C369A4" w:rsidP="00C369A4">
            <w:pPr>
              <w:pStyle w:val="ListParagraph"/>
              <w:numPr>
                <w:ilvl w:val="0"/>
                <w:numId w:val="20"/>
              </w:numPr>
              <w:rPr>
                <w:sz w:val="20"/>
                <w:szCs w:val="20"/>
              </w:rPr>
            </w:pPr>
            <w:r w:rsidRPr="00C369A4">
              <w:rPr>
                <w:sz w:val="20"/>
                <w:szCs w:val="20"/>
              </w:rPr>
              <w:t>The practice had established a Carers Network following direct feedback from patients registered as carers at the practice. The first event took place in September 2025 and over 40 carers and 5 external support organisations, alongside key practice staff and the Carers Champion attended. Due to the overwhelmingly positive feedback, carers were now helping to steer the network's development, resulting in a commitment from the practice to host a regular monthly dementia carers’ support group.</w:t>
            </w:r>
          </w:p>
          <w:p w14:paraId="376B94B1" w14:textId="5BCF449A" w:rsidR="000E14D2" w:rsidRPr="00957C5A" w:rsidRDefault="00C369A4" w:rsidP="00C369A4">
            <w:pPr>
              <w:pStyle w:val="ListParagraph"/>
              <w:numPr>
                <w:ilvl w:val="0"/>
                <w:numId w:val="20"/>
              </w:numPr>
              <w:rPr>
                <w:sz w:val="20"/>
                <w:szCs w:val="20"/>
              </w:rPr>
            </w:pPr>
            <w:r w:rsidRPr="00C369A4">
              <w:rPr>
                <w:sz w:val="20"/>
                <w:szCs w:val="20"/>
              </w:rPr>
              <w:t>The practice hosted meetings with local community pharmacists following the launch of Pharmacy First. They also hosted presentations from Musculoskeletal (</w:t>
            </w:r>
            <w:proofErr w:type="spellStart"/>
            <w:r w:rsidRPr="00C369A4">
              <w:rPr>
                <w:sz w:val="20"/>
                <w:szCs w:val="20"/>
              </w:rPr>
              <w:t>MSK</w:t>
            </w:r>
            <w:proofErr w:type="spellEnd"/>
            <w:r w:rsidRPr="00C369A4">
              <w:rPr>
                <w:sz w:val="20"/>
                <w:szCs w:val="20"/>
              </w:rPr>
              <w:t>) First Contact Physiotherapists and learning sessions from a psychiatry colleague as well as hosting them in the practice to provide a safe, familiar environment for less emotionally stable patients, ensuring they felt at ease during clinical assessments.</w:t>
            </w:r>
          </w:p>
        </w:tc>
      </w:tr>
    </w:tbl>
    <w:p w14:paraId="173AAF8A" w14:textId="73AE2E64" w:rsidR="009963DB" w:rsidRPr="00BF5B40" w:rsidRDefault="009963DB" w:rsidP="00571085">
      <w:pPr>
        <w:rPr>
          <w:b/>
          <w:bCs/>
        </w:rPr>
      </w:pPr>
    </w:p>
    <w:sectPr w:rsidR="009963DB" w:rsidRPr="00BF5B40" w:rsidSect="00C402EB">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6370D" w14:textId="77777777" w:rsidR="00002201" w:rsidRDefault="00002201" w:rsidP="00002201">
      <w:pPr>
        <w:spacing w:after="0" w:line="240" w:lineRule="auto"/>
      </w:pPr>
      <w:r>
        <w:separator/>
      </w:r>
    </w:p>
  </w:endnote>
  <w:endnote w:type="continuationSeparator" w:id="0">
    <w:p w14:paraId="73DD68AC" w14:textId="77777777" w:rsidR="00002201" w:rsidRDefault="00002201" w:rsidP="00002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DDA9D" w14:textId="57B50513" w:rsidR="00002201" w:rsidRPr="00002201" w:rsidRDefault="00002201" w:rsidP="00002201">
    <w:pPr>
      <w:pStyle w:val="Footer"/>
      <w:jc w:val="center"/>
    </w:pPr>
    <w:r>
      <w:rPr>
        <w:noProof/>
        <w:sz w:val="28"/>
        <w:szCs w:val="28"/>
      </w:rPr>
      <w:drawing>
        <wp:inline distT="0" distB="0" distL="0" distR="0" wp14:anchorId="5690A0AA" wp14:editId="231DB3E0">
          <wp:extent cx="1690777" cy="476138"/>
          <wp:effectExtent l="0" t="0" r="5080" b="635"/>
          <wp:docPr id="10487683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2277" cy="48219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0014B" w14:textId="77777777" w:rsidR="00002201" w:rsidRDefault="00002201" w:rsidP="00002201">
      <w:pPr>
        <w:spacing w:after="0" w:line="240" w:lineRule="auto"/>
      </w:pPr>
      <w:r>
        <w:separator/>
      </w:r>
    </w:p>
  </w:footnote>
  <w:footnote w:type="continuationSeparator" w:id="0">
    <w:p w14:paraId="514FDBB7" w14:textId="77777777" w:rsidR="00002201" w:rsidRDefault="00002201" w:rsidP="000022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40BB"/>
    <w:multiLevelType w:val="hybridMultilevel"/>
    <w:tmpl w:val="035E8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96E70"/>
    <w:multiLevelType w:val="hybridMultilevel"/>
    <w:tmpl w:val="FD76287E"/>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2" w15:restartNumberingAfterBreak="0">
    <w:nsid w:val="0B740E7B"/>
    <w:multiLevelType w:val="hybridMultilevel"/>
    <w:tmpl w:val="44D40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94548"/>
    <w:multiLevelType w:val="hybridMultilevel"/>
    <w:tmpl w:val="45D2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201FDC"/>
    <w:multiLevelType w:val="hybridMultilevel"/>
    <w:tmpl w:val="B79C5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456DDC"/>
    <w:multiLevelType w:val="hybridMultilevel"/>
    <w:tmpl w:val="CE122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1E5F05"/>
    <w:multiLevelType w:val="hybridMultilevel"/>
    <w:tmpl w:val="6DDCF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9043FF"/>
    <w:multiLevelType w:val="hybridMultilevel"/>
    <w:tmpl w:val="9C862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8B6E06"/>
    <w:multiLevelType w:val="hybridMultilevel"/>
    <w:tmpl w:val="AAFC1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D51CC6"/>
    <w:multiLevelType w:val="hybridMultilevel"/>
    <w:tmpl w:val="C2B09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FF2F1A"/>
    <w:multiLevelType w:val="hybridMultilevel"/>
    <w:tmpl w:val="8684E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0340AB"/>
    <w:multiLevelType w:val="hybridMultilevel"/>
    <w:tmpl w:val="270E8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9E6AA0"/>
    <w:multiLevelType w:val="hybridMultilevel"/>
    <w:tmpl w:val="8F1C9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9F0FCB"/>
    <w:multiLevelType w:val="hybridMultilevel"/>
    <w:tmpl w:val="43907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D051FA"/>
    <w:multiLevelType w:val="hybridMultilevel"/>
    <w:tmpl w:val="568C8F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C4411B9"/>
    <w:multiLevelType w:val="hybridMultilevel"/>
    <w:tmpl w:val="2C006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61486A"/>
    <w:multiLevelType w:val="hybridMultilevel"/>
    <w:tmpl w:val="BE9A9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60581D"/>
    <w:multiLevelType w:val="hybridMultilevel"/>
    <w:tmpl w:val="3BCA2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5F5AA1"/>
    <w:multiLevelType w:val="hybridMultilevel"/>
    <w:tmpl w:val="46EAD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651F9C"/>
    <w:multiLevelType w:val="hybridMultilevel"/>
    <w:tmpl w:val="B3402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E73EDA"/>
    <w:multiLevelType w:val="hybridMultilevel"/>
    <w:tmpl w:val="D408C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6E5EDD"/>
    <w:multiLevelType w:val="hybridMultilevel"/>
    <w:tmpl w:val="24EA9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F90D14"/>
    <w:multiLevelType w:val="hybridMultilevel"/>
    <w:tmpl w:val="F77A9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456466"/>
    <w:multiLevelType w:val="hybridMultilevel"/>
    <w:tmpl w:val="E1727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936F72"/>
    <w:multiLevelType w:val="hybridMultilevel"/>
    <w:tmpl w:val="7B54A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8327B5"/>
    <w:multiLevelType w:val="hybridMultilevel"/>
    <w:tmpl w:val="2F1EE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6984961">
    <w:abstractNumId w:val="18"/>
  </w:num>
  <w:num w:numId="2" w16cid:durableId="418986514">
    <w:abstractNumId w:val="23"/>
  </w:num>
  <w:num w:numId="3" w16cid:durableId="1242984047">
    <w:abstractNumId w:val="19"/>
  </w:num>
  <w:num w:numId="4" w16cid:durableId="2008746599">
    <w:abstractNumId w:val="11"/>
  </w:num>
  <w:num w:numId="5" w16cid:durableId="1431047083">
    <w:abstractNumId w:val="13"/>
  </w:num>
  <w:num w:numId="6" w16cid:durableId="1328705957">
    <w:abstractNumId w:val="5"/>
  </w:num>
  <w:num w:numId="7" w16cid:durableId="1392653540">
    <w:abstractNumId w:val="17"/>
  </w:num>
  <w:num w:numId="8" w16cid:durableId="16277088">
    <w:abstractNumId w:val="15"/>
  </w:num>
  <w:num w:numId="9" w16cid:durableId="556550753">
    <w:abstractNumId w:val="8"/>
  </w:num>
  <w:num w:numId="10" w16cid:durableId="1229733608">
    <w:abstractNumId w:val="2"/>
  </w:num>
  <w:num w:numId="11" w16cid:durableId="472598985">
    <w:abstractNumId w:val="22"/>
  </w:num>
  <w:num w:numId="12" w16cid:durableId="1612320330">
    <w:abstractNumId w:val="21"/>
  </w:num>
  <w:num w:numId="13" w16cid:durableId="1948391258">
    <w:abstractNumId w:val="1"/>
  </w:num>
  <w:num w:numId="14" w16cid:durableId="1705710339">
    <w:abstractNumId w:val="4"/>
  </w:num>
  <w:num w:numId="15" w16cid:durableId="158079107">
    <w:abstractNumId w:val="6"/>
  </w:num>
  <w:num w:numId="16" w16cid:durableId="1102795583">
    <w:abstractNumId w:val="20"/>
  </w:num>
  <w:num w:numId="17" w16cid:durableId="84691925">
    <w:abstractNumId w:val="0"/>
  </w:num>
  <w:num w:numId="18" w16cid:durableId="608002447">
    <w:abstractNumId w:val="24"/>
  </w:num>
  <w:num w:numId="19" w16cid:durableId="2127119859">
    <w:abstractNumId w:val="12"/>
  </w:num>
  <w:num w:numId="20" w16cid:durableId="978219933">
    <w:abstractNumId w:val="9"/>
  </w:num>
  <w:num w:numId="21" w16cid:durableId="1173960558">
    <w:abstractNumId w:val="10"/>
  </w:num>
  <w:num w:numId="22" w16cid:durableId="1159154764">
    <w:abstractNumId w:val="14"/>
  </w:num>
  <w:num w:numId="23" w16cid:durableId="1078330311">
    <w:abstractNumId w:val="7"/>
  </w:num>
  <w:num w:numId="24" w16cid:durableId="2038312872">
    <w:abstractNumId w:val="3"/>
  </w:num>
  <w:num w:numId="25" w16cid:durableId="861360750">
    <w:abstractNumId w:val="25"/>
  </w:num>
  <w:num w:numId="26" w16cid:durableId="7645023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E5F"/>
    <w:rsid w:val="00002201"/>
    <w:rsid w:val="00003FDD"/>
    <w:rsid w:val="0001357A"/>
    <w:rsid w:val="00015C72"/>
    <w:rsid w:val="000237A3"/>
    <w:rsid w:val="00027B67"/>
    <w:rsid w:val="00033F9B"/>
    <w:rsid w:val="0003605F"/>
    <w:rsid w:val="00051552"/>
    <w:rsid w:val="000533B9"/>
    <w:rsid w:val="0006003A"/>
    <w:rsid w:val="00063007"/>
    <w:rsid w:val="0006337D"/>
    <w:rsid w:val="000636A5"/>
    <w:rsid w:val="000678FB"/>
    <w:rsid w:val="00071C62"/>
    <w:rsid w:val="000813CB"/>
    <w:rsid w:val="00083D22"/>
    <w:rsid w:val="000970EE"/>
    <w:rsid w:val="000A1654"/>
    <w:rsid w:val="000B2227"/>
    <w:rsid w:val="000C3596"/>
    <w:rsid w:val="000D643C"/>
    <w:rsid w:val="000E14D2"/>
    <w:rsid w:val="000E61CA"/>
    <w:rsid w:val="000F5D48"/>
    <w:rsid w:val="00101F73"/>
    <w:rsid w:val="00115570"/>
    <w:rsid w:val="00117CE2"/>
    <w:rsid w:val="00121982"/>
    <w:rsid w:val="00122DD3"/>
    <w:rsid w:val="001237B8"/>
    <w:rsid w:val="00144C06"/>
    <w:rsid w:val="00160B36"/>
    <w:rsid w:val="00162CBB"/>
    <w:rsid w:val="00171595"/>
    <w:rsid w:val="001935D9"/>
    <w:rsid w:val="00194FF3"/>
    <w:rsid w:val="001A2290"/>
    <w:rsid w:val="001B134F"/>
    <w:rsid w:val="001C25F2"/>
    <w:rsid w:val="001C42A1"/>
    <w:rsid w:val="001D197C"/>
    <w:rsid w:val="001D27C5"/>
    <w:rsid w:val="001D2E7C"/>
    <w:rsid w:val="001D7CD0"/>
    <w:rsid w:val="002074A6"/>
    <w:rsid w:val="00210869"/>
    <w:rsid w:val="0021274B"/>
    <w:rsid w:val="00214885"/>
    <w:rsid w:val="00231B15"/>
    <w:rsid w:val="0024749C"/>
    <w:rsid w:val="0026370C"/>
    <w:rsid w:val="00271AAC"/>
    <w:rsid w:val="002809EF"/>
    <w:rsid w:val="002A040E"/>
    <w:rsid w:val="002A06FA"/>
    <w:rsid w:val="002A7A73"/>
    <w:rsid w:val="002B1DAF"/>
    <w:rsid w:val="002C0CD2"/>
    <w:rsid w:val="002C15F2"/>
    <w:rsid w:val="002C7BF6"/>
    <w:rsid w:val="002E2828"/>
    <w:rsid w:val="002F5B93"/>
    <w:rsid w:val="002F6457"/>
    <w:rsid w:val="00300AD2"/>
    <w:rsid w:val="00307D53"/>
    <w:rsid w:val="003157C1"/>
    <w:rsid w:val="00322882"/>
    <w:rsid w:val="00363999"/>
    <w:rsid w:val="003832A6"/>
    <w:rsid w:val="003870A8"/>
    <w:rsid w:val="00390411"/>
    <w:rsid w:val="0039766A"/>
    <w:rsid w:val="003A45A5"/>
    <w:rsid w:val="003A5337"/>
    <w:rsid w:val="003A6817"/>
    <w:rsid w:val="003A6A5A"/>
    <w:rsid w:val="003C0C1E"/>
    <w:rsid w:val="003E1B6D"/>
    <w:rsid w:val="003E6616"/>
    <w:rsid w:val="003F1494"/>
    <w:rsid w:val="003F1597"/>
    <w:rsid w:val="004121D5"/>
    <w:rsid w:val="004130AE"/>
    <w:rsid w:val="00415FCC"/>
    <w:rsid w:val="00431ADF"/>
    <w:rsid w:val="00445A5A"/>
    <w:rsid w:val="00453884"/>
    <w:rsid w:val="00454ADE"/>
    <w:rsid w:val="00475286"/>
    <w:rsid w:val="00495434"/>
    <w:rsid w:val="004B2015"/>
    <w:rsid w:val="004B403D"/>
    <w:rsid w:val="004D6DAF"/>
    <w:rsid w:val="004E1230"/>
    <w:rsid w:val="004E5ABD"/>
    <w:rsid w:val="004F4C75"/>
    <w:rsid w:val="004F720D"/>
    <w:rsid w:val="00504E70"/>
    <w:rsid w:val="00515B52"/>
    <w:rsid w:val="00515D2C"/>
    <w:rsid w:val="00517058"/>
    <w:rsid w:val="0054431B"/>
    <w:rsid w:val="00544CF3"/>
    <w:rsid w:val="00563971"/>
    <w:rsid w:val="00571085"/>
    <w:rsid w:val="0057678B"/>
    <w:rsid w:val="005839BA"/>
    <w:rsid w:val="00586E96"/>
    <w:rsid w:val="00590AB2"/>
    <w:rsid w:val="005964BB"/>
    <w:rsid w:val="005A764F"/>
    <w:rsid w:val="005B35B6"/>
    <w:rsid w:val="005C5730"/>
    <w:rsid w:val="005D2A8C"/>
    <w:rsid w:val="005F2DDA"/>
    <w:rsid w:val="005F3118"/>
    <w:rsid w:val="005F3B5F"/>
    <w:rsid w:val="00607085"/>
    <w:rsid w:val="006077F8"/>
    <w:rsid w:val="00637EFF"/>
    <w:rsid w:val="00647D20"/>
    <w:rsid w:val="00665F58"/>
    <w:rsid w:val="00683A7F"/>
    <w:rsid w:val="00686010"/>
    <w:rsid w:val="006A5F3F"/>
    <w:rsid w:val="006B1004"/>
    <w:rsid w:val="006B4095"/>
    <w:rsid w:val="006C08A9"/>
    <w:rsid w:val="006D2F24"/>
    <w:rsid w:val="006E2A7B"/>
    <w:rsid w:val="006E3DCA"/>
    <w:rsid w:val="006E5264"/>
    <w:rsid w:val="006E67DB"/>
    <w:rsid w:val="006E6E17"/>
    <w:rsid w:val="006E6EC6"/>
    <w:rsid w:val="00701D2B"/>
    <w:rsid w:val="00702C83"/>
    <w:rsid w:val="0072073D"/>
    <w:rsid w:val="0072271B"/>
    <w:rsid w:val="007264A8"/>
    <w:rsid w:val="0073136D"/>
    <w:rsid w:val="007341D2"/>
    <w:rsid w:val="007372FE"/>
    <w:rsid w:val="00755C41"/>
    <w:rsid w:val="0076045F"/>
    <w:rsid w:val="00770B33"/>
    <w:rsid w:val="007948BE"/>
    <w:rsid w:val="007950F8"/>
    <w:rsid w:val="007B72DC"/>
    <w:rsid w:val="007C3736"/>
    <w:rsid w:val="007C7F5A"/>
    <w:rsid w:val="007D33E6"/>
    <w:rsid w:val="007D7EB1"/>
    <w:rsid w:val="008100C0"/>
    <w:rsid w:val="0084351C"/>
    <w:rsid w:val="00843B33"/>
    <w:rsid w:val="00873E13"/>
    <w:rsid w:val="008840C3"/>
    <w:rsid w:val="008A1BD7"/>
    <w:rsid w:val="008A53B7"/>
    <w:rsid w:val="008B029C"/>
    <w:rsid w:val="008D0C81"/>
    <w:rsid w:val="008D1836"/>
    <w:rsid w:val="008E3400"/>
    <w:rsid w:val="00905229"/>
    <w:rsid w:val="00907032"/>
    <w:rsid w:val="00916E4C"/>
    <w:rsid w:val="00917585"/>
    <w:rsid w:val="00921C89"/>
    <w:rsid w:val="00922E5F"/>
    <w:rsid w:val="00950F94"/>
    <w:rsid w:val="00955657"/>
    <w:rsid w:val="00957C5A"/>
    <w:rsid w:val="00963CCE"/>
    <w:rsid w:val="00970C18"/>
    <w:rsid w:val="00995CCF"/>
    <w:rsid w:val="009963DB"/>
    <w:rsid w:val="009A4873"/>
    <w:rsid w:val="009A5606"/>
    <w:rsid w:val="009B5FBC"/>
    <w:rsid w:val="009B6559"/>
    <w:rsid w:val="009C0983"/>
    <w:rsid w:val="009C7B43"/>
    <w:rsid w:val="009D4224"/>
    <w:rsid w:val="009E4092"/>
    <w:rsid w:val="00A01151"/>
    <w:rsid w:val="00A15C5D"/>
    <w:rsid w:val="00A1636B"/>
    <w:rsid w:val="00A21944"/>
    <w:rsid w:val="00A344F4"/>
    <w:rsid w:val="00A405D7"/>
    <w:rsid w:val="00A40D30"/>
    <w:rsid w:val="00A4294E"/>
    <w:rsid w:val="00A52700"/>
    <w:rsid w:val="00A560D8"/>
    <w:rsid w:val="00A56A87"/>
    <w:rsid w:val="00A70536"/>
    <w:rsid w:val="00A74455"/>
    <w:rsid w:val="00A8660D"/>
    <w:rsid w:val="00A87191"/>
    <w:rsid w:val="00A900F5"/>
    <w:rsid w:val="00AA4832"/>
    <w:rsid w:val="00AA4E7B"/>
    <w:rsid w:val="00AB5B2E"/>
    <w:rsid w:val="00AC0673"/>
    <w:rsid w:val="00AC0BEA"/>
    <w:rsid w:val="00AC198E"/>
    <w:rsid w:val="00AC4FF1"/>
    <w:rsid w:val="00AD02EC"/>
    <w:rsid w:val="00AD459B"/>
    <w:rsid w:val="00AD4B9A"/>
    <w:rsid w:val="00AF371B"/>
    <w:rsid w:val="00B0049D"/>
    <w:rsid w:val="00B04ADD"/>
    <w:rsid w:val="00B07A8A"/>
    <w:rsid w:val="00B11BDA"/>
    <w:rsid w:val="00B12252"/>
    <w:rsid w:val="00B14163"/>
    <w:rsid w:val="00B26D1A"/>
    <w:rsid w:val="00B42D74"/>
    <w:rsid w:val="00B51DE7"/>
    <w:rsid w:val="00B56788"/>
    <w:rsid w:val="00B633EB"/>
    <w:rsid w:val="00B76F0F"/>
    <w:rsid w:val="00B874B6"/>
    <w:rsid w:val="00B911AA"/>
    <w:rsid w:val="00B91644"/>
    <w:rsid w:val="00BA2234"/>
    <w:rsid w:val="00BB40F8"/>
    <w:rsid w:val="00BB69C6"/>
    <w:rsid w:val="00BC1A4B"/>
    <w:rsid w:val="00BC4198"/>
    <w:rsid w:val="00BD1D0F"/>
    <w:rsid w:val="00BD706D"/>
    <w:rsid w:val="00BE16CD"/>
    <w:rsid w:val="00BE3A67"/>
    <w:rsid w:val="00BE3BA5"/>
    <w:rsid w:val="00BF5B40"/>
    <w:rsid w:val="00BF6BED"/>
    <w:rsid w:val="00BF70A2"/>
    <w:rsid w:val="00C02E61"/>
    <w:rsid w:val="00C10379"/>
    <w:rsid w:val="00C1355F"/>
    <w:rsid w:val="00C25E6A"/>
    <w:rsid w:val="00C369A4"/>
    <w:rsid w:val="00C374F1"/>
    <w:rsid w:val="00C402EB"/>
    <w:rsid w:val="00C5236C"/>
    <w:rsid w:val="00C70081"/>
    <w:rsid w:val="00C825D4"/>
    <w:rsid w:val="00CA4932"/>
    <w:rsid w:val="00CC3C4B"/>
    <w:rsid w:val="00CC58F9"/>
    <w:rsid w:val="00CD6620"/>
    <w:rsid w:val="00CE1D75"/>
    <w:rsid w:val="00CE5763"/>
    <w:rsid w:val="00CE6566"/>
    <w:rsid w:val="00CF2F3C"/>
    <w:rsid w:val="00CF5C57"/>
    <w:rsid w:val="00D00EFA"/>
    <w:rsid w:val="00D01EEE"/>
    <w:rsid w:val="00D148BD"/>
    <w:rsid w:val="00D20939"/>
    <w:rsid w:val="00D223F7"/>
    <w:rsid w:val="00D22436"/>
    <w:rsid w:val="00D2376B"/>
    <w:rsid w:val="00D66D80"/>
    <w:rsid w:val="00D70543"/>
    <w:rsid w:val="00D80E45"/>
    <w:rsid w:val="00D81AD0"/>
    <w:rsid w:val="00D82B50"/>
    <w:rsid w:val="00D82FC5"/>
    <w:rsid w:val="00DA1341"/>
    <w:rsid w:val="00DB7294"/>
    <w:rsid w:val="00DC3777"/>
    <w:rsid w:val="00DC55E7"/>
    <w:rsid w:val="00DC5D42"/>
    <w:rsid w:val="00DC6A0E"/>
    <w:rsid w:val="00DD3100"/>
    <w:rsid w:val="00DD7DED"/>
    <w:rsid w:val="00DF59D2"/>
    <w:rsid w:val="00E25140"/>
    <w:rsid w:val="00E26984"/>
    <w:rsid w:val="00E34A2D"/>
    <w:rsid w:val="00E50A0E"/>
    <w:rsid w:val="00E51803"/>
    <w:rsid w:val="00E64C07"/>
    <w:rsid w:val="00E778BE"/>
    <w:rsid w:val="00E8081C"/>
    <w:rsid w:val="00E8090F"/>
    <w:rsid w:val="00E97A6C"/>
    <w:rsid w:val="00EA071A"/>
    <w:rsid w:val="00EA5626"/>
    <w:rsid w:val="00EB2544"/>
    <w:rsid w:val="00EC4759"/>
    <w:rsid w:val="00ED198F"/>
    <w:rsid w:val="00EE30D5"/>
    <w:rsid w:val="00EE6A6C"/>
    <w:rsid w:val="00EE7561"/>
    <w:rsid w:val="00EF0BEA"/>
    <w:rsid w:val="00EF349A"/>
    <w:rsid w:val="00EF7B59"/>
    <w:rsid w:val="00F01D10"/>
    <w:rsid w:val="00F05BA2"/>
    <w:rsid w:val="00F07041"/>
    <w:rsid w:val="00F361D5"/>
    <w:rsid w:val="00F468C1"/>
    <w:rsid w:val="00F6566A"/>
    <w:rsid w:val="00F72669"/>
    <w:rsid w:val="00F93102"/>
    <w:rsid w:val="00FA2E29"/>
    <w:rsid w:val="00FA4721"/>
    <w:rsid w:val="00FA5764"/>
    <w:rsid w:val="00FB0857"/>
    <w:rsid w:val="00FB68F1"/>
    <w:rsid w:val="00FD39E4"/>
    <w:rsid w:val="00FE41DB"/>
    <w:rsid w:val="00FE6C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7C264"/>
  <w15:chartTrackingRefBased/>
  <w15:docId w15:val="{7AC84D80-713E-417B-8266-87C69800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4D2"/>
    <w:rPr>
      <w:rFonts w:eastAsiaTheme="minorEastAsia"/>
      <w:lang w:eastAsia="ja-JP"/>
    </w:rPr>
  </w:style>
  <w:style w:type="paragraph" w:styleId="Heading1">
    <w:name w:val="heading 1"/>
    <w:basedOn w:val="Normal"/>
    <w:next w:val="Normal"/>
    <w:link w:val="Heading1Char"/>
    <w:uiPriority w:val="9"/>
    <w:qFormat/>
    <w:rsid w:val="00922E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E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22E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E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E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E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E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E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E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E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E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22E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E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E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E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E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E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E5F"/>
    <w:rPr>
      <w:rFonts w:eastAsiaTheme="majorEastAsia" w:cstheme="majorBidi"/>
      <w:color w:val="272727" w:themeColor="text1" w:themeTint="D8"/>
    </w:rPr>
  </w:style>
  <w:style w:type="paragraph" w:styleId="Title">
    <w:name w:val="Title"/>
    <w:basedOn w:val="Normal"/>
    <w:next w:val="Normal"/>
    <w:link w:val="TitleChar"/>
    <w:uiPriority w:val="10"/>
    <w:qFormat/>
    <w:rsid w:val="00922E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E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E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E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E5F"/>
    <w:pPr>
      <w:spacing w:before="160"/>
      <w:jc w:val="center"/>
    </w:pPr>
    <w:rPr>
      <w:i/>
      <w:iCs/>
      <w:color w:val="404040" w:themeColor="text1" w:themeTint="BF"/>
    </w:rPr>
  </w:style>
  <w:style w:type="character" w:customStyle="1" w:styleId="QuoteChar">
    <w:name w:val="Quote Char"/>
    <w:basedOn w:val="DefaultParagraphFont"/>
    <w:link w:val="Quote"/>
    <w:uiPriority w:val="29"/>
    <w:rsid w:val="00922E5F"/>
    <w:rPr>
      <w:i/>
      <w:iCs/>
      <w:color w:val="404040" w:themeColor="text1" w:themeTint="BF"/>
    </w:rPr>
  </w:style>
  <w:style w:type="paragraph" w:styleId="ListParagraph">
    <w:name w:val="List Paragraph"/>
    <w:basedOn w:val="Normal"/>
    <w:uiPriority w:val="34"/>
    <w:qFormat/>
    <w:rsid w:val="00922E5F"/>
    <w:pPr>
      <w:ind w:left="720"/>
      <w:contextualSpacing/>
    </w:pPr>
  </w:style>
  <w:style w:type="character" w:styleId="IntenseEmphasis">
    <w:name w:val="Intense Emphasis"/>
    <w:basedOn w:val="DefaultParagraphFont"/>
    <w:uiPriority w:val="21"/>
    <w:qFormat/>
    <w:rsid w:val="00922E5F"/>
    <w:rPr>
      <w:i/>
      <w:iCs/>
      <w:color w:val="0F4761" w:themeColor="accent1" w:themeShade="BF"/>
    </w:rPr>
  </w:style>
  <w:style w:type="paragraph" w:styleId="IntenseQuote">
    <w:name w:val="Intense Quote"/>
    <w:basedOn w:val="Normal"/>
    <w:next w:val="Normal"/>
    <w:link w:val="IntenseQuoteChar"/>
    <w:uiPriority w:val="30"/>
    <w:qFormat/>
    <w:rsid w:val="00922E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E5F"/>
    <w:rPr>
      <w:i/>
      <w:iCs/>
      <w:color w:val="0F4761" w:themeColor="accent1" w:themeShade="BF"/>
    </w:rPr>
  </w:style>
  <w:style w:type="character" w:styleId="IntenseReference">
    <w:name w:val="Intense Reference"/>
    <w:basedOn w:val="DefaultParagraphFont"/>
    <w:uiPriority w:val="32"/>
    <w:qFormat/>
    <w:rsid w:val="00922E5F"/>
    <w:rPr>
      <w:b/>
      <w:bCs/>
      <w:smallCaps/>
      <w:color w:val="0F4761" w:themeColor="accent1" w:themeShade="BF"/>
      <w:spacing w:val="5"/>
    </w:rPr>
  </w:style>
  <w:style w:type="table" w:styleId="TableGrid">
    <w:name w:val="Table Grid"/>
    <w:basedOn w:val="TableNormal"/>
    <w:uiPriority w:val="39"/>
    <w:rsid w:val="00922E5F"/>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2E5F"/>
    <w:rPr>
      <w:color w:val="467886" w:themeColor="hyperlink"/>
      <w:u w:val="single"/>
    </w:rPr>
  </w:style>
  <w:style w:type="character" w:customStyle="1" w:styleId="inspection-summary-toctext">
    <w:name w:val="inspection-summary-toc__text"/>
    <w:basedOn w:val="DefaultParagraphFont"/>
    <w:rsid w:val="004121D5"/>
  </w:style>
  <w:style w:type="paragraph" w:styleId="Header">
    <w:name w:val="header"/>
    <w:basedOn w:val="Normal"/>
    <w:link w:val="HeaderChar"/>
    <w:uiPriority w:val="99"/>
    <w:unhideWhenUsed/>
    <w:rsid w:val="000022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201"/>
    <w:rPr>
      <w:rFonts w:eastAsiaTheme="minorEastAsia"/>
      <w:lang w:eastAsia="ja-JP"/>
    </w:rPr>
  </w:style>
  <w:style w:type="paragraph" w:styleId="Footer">
    <w:name w:val="footer"/>
    <w:basedOn w:val="Normal"/>
    <w:link w:val="FooterChar"/>
    <w:uiPriority w:val="99"/>
    <w:unhideWhenUsed/>
    <w:rsid w:val="000022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201"/>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DBF7F8FEE04B4C9EC4D7C19BAFA81F" ma:contentTypeVersion="14" ma:contentTypeDescription="Create a new document." ma:contentTypeScope="" ma:versionID="220af7cde421da3557dc4026c0647ae7">
  <xsd:schema xmlns:xsd="http://www.w3.org/2001/XMLSchema" xmlns:xs="http://www.w3.org/2001/XMLSchema" xmlns:p="http://schemas.microsoft.com/office/2006/metadata/properties" xmlns:ns2="14d1cd1f-9420-46df-ae7d-3014d7ba5746" xmlns:ns3="2af275fd-da0d-4fc8-8921-01628ad68a5e" targetNamespace="http://schemas.microsoft.com/office/2006/metadata/properties" ma:root="true" ma:fieldsID="a585d0c85227dee0238f7f135594c977" ns2:_="" ns3:_="">
    <xsd:import namespace="14d1cd1f-9420-46df-ae7d-3014d7ba5746"/>
    <xsd:import namespace="2af275fd-da0d-4fc8-8921-01628ad68a5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1cd1f-9420-46df-ae7d-3014d7ba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31852f-12a7-4547-8000-545b83dd3770"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f275fd-da0d-4fc8-8921-01628ad68a5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d1cd1f-9420-46df-ae7d-3014d7ba574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3F263-06FA-42E9-8376-CDB535B9577E}">
  <ds:schemaRefs>
    <ds:schemaRef ds:uri="http://schemas.microsoft.com/sharepoint/v3/contenttype/forms"/>
  </ds:schemaRefs>
</ds:datastoreItem>
</file>

<file path=customXml/itemProps2.xml><?xml version="1.0" encoding="utf-8"?>
<ds:datastoreItem xmlns:ds="http://schemas.openxmlformats.org/officeDocument/2006/customXml" ds:itemID="{4AA74E1A-172A-47F0-B0F7-7DC86A8A8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1cd1f-9420-46df-ae7d-3014d7ba5746"/>
    <ds:schemaRef ds:uri="2af275fd-da0d-4fc8-8921-01628ad68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1E45E4-AF2B-44A3-BAEA-0F4280A36C52}">
  <ds:schemaRefs>
    <ds:schemaRef ds:uri="http://schemas.microsoft.com/office/2006/metadata/properties"/>
    <ds:schemaRef ds:uri="http://schemas.microsoft.com/office/infopath/2007/PartnerControls"/>
    <ds:schemaRef ds:uri="14d1cd1f-9420-46df-ae7d-3014d7ba5746"/>
  </ds:schemaRefs>
</ds:datastoreItem>
</file>

<file path=customXml/itemProps4.xml><?xml version="1.0" encoding="utf-8"?>
<ds:datastoreItem xmlns:ds="http://schemas.openxmlformats.org/officeDocument/2006/customXml" ds:itemID="{E4E6A452-FB8D-4D7B-B81F-6F84BDD0D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13</Pages>
  <Words>5296</Words>
  <Characters>33419</Characters>
  <Application>Microsoft Office Word</Application>
  <DocSecurity>0</DocSecurity>
  <Lines>2570</Lines>
  <Paragraphs>1173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Finch, Jonathan</dc:creator>
  <cp:keywords/>
  <dc:description/>
  <cp:lastModifiedBy>Finch, Jonathan</cp:lastModifiedBy>
  <cp:revision>128</cp:revision>
  <dcterms:created xsi:type="dcterms:W3CDTF">2025-12-02T10:52:00Z</dcterms:created>
  <dcterms:modified xsi:type="dcterms:W3CDTF">2025-12-16T10:44:00Z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0x010100B5DBF7F8FEE04B4C9EC4D7C19BAFA81F</vt:lpwstr>
  </property>
  <property fmtid="{D5CDD505-2E9C-101B-9397-08002B2CF9AE}" pid="3" name="MediaServiceImageTags">
    <vt:lpwstr/>
  </property>
</Properties>
</file>